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954" w:rsidRPr="0090646C" w:rsidRDefault="0090646C">
      <w:pPr>
        <w:rPr>
          <w:b/>
        </w:rPr>
      </w:pPr>
      <w:r w:rsidRPr="0090646C">
        <w:rPr>
          <w:b/>
        </w:rPr>
        <w:t>Views on remuneration of the presenting companies at the 8 Nov 2017 ShareSoc Seminar.</w:t>
      </w:r>
    </w:p>
    <w:p w:rsidR="00F027FB" w:rsidRDefault="00F027FB"/>
    <w:p w:rsidR="0090646C" w:rsidRDefault="0090646C">
      <w:r>
        <w:t>Please note these are my personal views and not those of ShareSoc.</w:t>
      </w:r>
    </w:p>
    <w:p w:rsidR="0090646C" w:rsidRDefault="0090646C"/>
    <w:p w:rsidR="00F027FB" w:rsidRPr="0090646C" w:rsidRDefault="00F027FB">
      <w:pPr>
        <w:rPr>
          <w:b/>
        </w:rPr>
      </w:pPr>
      <w:r w:rsidRPr="0090646C">
        <w:rPr>
          <w:b/>
        </w:rPr>
        <w:t>Trinity</w:t>
      </w:r>
      <w:r w:rsidR="00206520" w:rsidRPr="0090646C">
        <w:rPr>
          <w:b/>
        </w:rPr>
        <w:t xml:space="preserve"> Exploration and Production</w:t>
      </w:r>
    </w:p>
    <w:p w:rsidR="00206520" w:rsidRDefault="00206520">
      <w:r>
        <w:t xml:space="preserve">Note. I bought some shares in Trinity on 9 Nov. 17 after Executive </w:t>
      </w:r>
      <w:r w:rsidR="00331788">
        <w:t>Chairman</w:t>
      </w:r>
      <w:r>
        <w:t xml:space="preserve"> Bruce </w:t>
      </w:r>
      <w:proofErr w:type="spellStart"/>
      <w:r>
        <w:t>Dingwall’s</w:t>
      </w:r>
      <w:proofErr w:type="spellEnd"/>
      <w:r>
        <w:t xml:space="preserve"> excellent presentation.</w:t>
      </w:r>
    </w:p>
    <w:p w:rsidR="00F027FB" w:rsidRDefault="00F027FB"/>
    <w:p w:rsidR="00705E1D" w:rsidRDefault="00331788">
      <w:r>
        <w:t>Whilst</w:t>
      </w:r>
      <w:r w:rsidR="00206520">
        <w:t xml:space="preserve"> checking on their remuneration (a process I like to do before I buy any shares. I like to check managers are not paid too much and have incentives aligned with shareholders.), I found out these relevant points.</w:t>
      </w:r>
    </w:p>
    <w:p w:rsidR="00705E1D" w:rsidRDefault="00705E1D" w:rsidP="00705E1D">
      <w:pPr>
        <w:pStyle w:val="NormalWeb"/>
      </w:pPr>
      <w:r>
        <w:rPr>
          <w:rFonts w:ascii="AkzidenzGrotesk" w:hAnsi="AkzidenzGrotesk"/>
          <w:b/>
          <w:bCs/>
          <w:sz w:val="20"/>
          <w:szCs w:val="20"/>
        </w:rPr>
        <w:t xml:space="preserve">Performance of the Company in 2016 </w:t>
      </w:r>
    </w:p>
    <w:p w:rsidR="00705E1D" w:rsidRDefault="00705E1D" w:rsidP="00705E1D">
      <w:pPr>
        <w:pStyle w:val="NormalWeb"/>
      </w:pPr>
      <w:r>
        <w:rPr>
          <w:rFonts w:ascii="AkzidenzGrotesk" w:hAnsi="AkzidenzGrotesk"/>
          <w:sz w:val="20"/>
          <w:szCs w:val="20"/>
        </w:rPr>
        <w:t xml:space="preserve">The Company announced on 8 April 2015 that it was undertaking a FSP and strategic review of the options open to the Company to maximise value for Shareholders. The FSP process and offer period for the sale of one or more of the Company’s assets was terminated on 9 December 2016 and the proposed Fundraising in relation to the financial restructuring of the Company was also announced. Refer to Financial Review Note - Restructuring and Fundraising page 12. </w:t>
      </w:r>
    </w:p>
    <w:p w:rsidR="00705E1D" w:rsidRDefault="00705E1D" w:rsidP="00705E1D">
      <w:pPr>
        <w:pStyle w:val="NormalWeb"/>
      </w:pPr>
      <w:r>
        <w:rPr>
          <w:rFonts w:ascii="AkzidenzGrotesk" w:hAnsi="AkzidenzGrotesk"/>
          <w:b/>
          <w:bCs/>
          <w:sz w:val="20"/>
          <w:szCs w:val="20"/>
        </w:rPr>
        <w:t xml:space="preserve">Key pay outcomes: </w:t>
      </w:r>
    </w:p>
    <w:p w:rsidR="00705E1D" w:rsidRDefault="00705E1D" w:rsidP="00705E1D">
      <w:pPr>
        <w:pStyle w:val="NormalWeb"/>
      </w:pPr>
      <w:r>
        <w:rPr>
          <w:rFonts w:ascii="AkzidenzGrotesk" w:hAnsi="AkzidenzGrotesk"/>
          <w:sz w:val="20"/>
          <w:szCs w:val="20"/>
        </w:rPr>
        <w:t xml:space="preserve">• Bruce A. I. </w:t>
      </w:r>
      <w:proofErr w:type="spellStart"/>
      <w:r>
        <w:rPr>
          <w:rFonts w:ascii="AkzidenzGrotesk" w:hAnsi="AkzidenzGrotesk"/>
          <w:sz w:val="20"/>
          <w:szCs w:val="20"/>
        </w:rPr>
        <w:t>Dingwall</w:t>
      </w:r>
      <w:proofErr w:type="spellEnd"/>
      <w:r>
        <w:rPr>
          <w:rFonts w:ascii="AkzidenzGrotesk" w:hAnsi="AkzidenzGrotesk"/>
          <w:sz w:val="20"/>
          <w:szCs w:val="20"/>
        </w:rPr>
        <w:t xml:space="preserve"> CBE’s salary for 2016 was GBP 90,000 (USD 124,047 equiv.) compared to 2015: GBP 123,892 (USD 190,050 equiv.) and remains unchanged for 2017 at GBP 90,000 effective </w:t>
      </w:r>
    </w:p>
    <w:p w:rsidR="00705E1D" w:rsidRDefault="00705E1D" w:rsidP="00705E1D">
      <w:pPr>
        <w:pStyle w:val="NormalWeb"/>
      </w:pPr>
      <w:r>
        <w:rPr>
          <w:rFonts w:ascii="AkzidenzGrotesk" w:hAnsi="AkzidenzGrotesk"/>
          <w:sz w:val="20"/>
          <w:szCs w:val="20"/>
        </w:rPr>
        <w:t xml:space="preserve">1 January 2017 </w:t>
      </w:r>
    </w:p>
    <w:p w:rsidR="00705E1D" w:rsidRDefault="00705E1D" w:rsidP="00705E1D">
      <w:pPr>
        <w:pStyle w:val="NormalWeb"/>
      </w:pPr>
      <w:r>
        <w:rPr>
          <w:rFonts w:ascii="AkzidenzGrotesk" w:hAnsi="AkzidenzGrotesk"/>
          <w:sz w:val="20"/>
          <w:szCs w:val="20"/>
        </w:rPr>
        <w:t xml:space="preserve">• Effective 1 April 2015 the Non-Executive Directors elected to suspend all fees relating to their roles and such fees were re-instated in January 2017 upon completion of the Restructuring </w:t>
      </w:r>
    </w:p>
    <w:p w:rsidR="00705E1D" w:rsidRDefault="00705E1D" w:rsidP="00705E1D">
      <w:pPr>
        <w:pStyle w:val="NormalWeb"/>
      </w:pPr>
      <w:r>
        <w:rPr>
          <w:rFonts w:ascii="AkzidenzGrotesk" w:hAnsi="AkzidenzGrotesk"/>
          <w:sz w:val="20"/>
          <w:szCs w:val="20"/>
        </w:rPr>
        <w:t xml:space="preserve">We are committed to maintaining an open and transparent dialogue with Shareholders. The objective of this Report is to communicate clearly how our Directors are paid. </w:t>
      </w:r>
    </w:p>
    <w:p w:rsidR="00705E1D" w:rsidRDefault="00705E1D" w:rsidP="00705E1D">
      <w:pPr>
        <w:pStyle w:val="NormalWeb"/>
      </w:pPr>
      <w:r>
        <w:rPr>
          <w:rFonts w:ascii="AkzidenzGrotesk" w:hAnsi="AkzidenzGrotesk"/>
          <w:b/>
          <w:bCs/>
          <w:sz w:val="20"/>
          <w:szCs w:val="20"/>
        </w:rPr>
        <w:t xml:space="preserve">Jonathan Murphy </w:t>
      </w:r>
    </w:p>
    <w:p w:rsidR="00705E1D" w:rsidRDefault="00705E1D" w:rsidP="00705E1D">
      <w:pPr>
        <w:pStyle w:val="NormalWeb"/>
      </w:pPr>
      <w:r>
        <w:rPr>
          <w:rFonts w:ascii="AkzidenzGrotesk" w:hAnsi="AkzidenzGrotesk"/>
          <w:sz w:val="20"/>
          <w:szCs w:val="20"/>
        </w:rPr>
        <w:t xml:space="preserve">Remuneration Committee Chairman 2 May 2017 </w:t>
      </w:r>
    </w:p>
    <w:p w:rsidR="00705E1D" w:rsidRDefault="00705E1D"/>
    <w:p w:rsidR="00F027FB" w:rsidRDefault="00F027FB" w:rsidP="00F027FB">
      <w:pPr>
        <w:pStyle w:val="NormalWeb"/>
      </w:pPr>
      <w:r>
        <w:rPr>
          <w:rFonts w:ascii="AkzidenzGrotesk" w:hAnsi="AkzidenzGrotesk"/>
          <w:b/>
          <w:bCs/>
          <w:sz w:val="20"/>
          <w:szCs w:val="20"/>
        </w:rPr>
        <w:t xml:space="preserve">The Remuneration Committee </w:t>
      </w:r>
    </w:p>
    <w:p w:rsidR="00F027FB" w:rsidRDefault="00F027FB" w:rsidP="00F027FB">
      <w:pPr>
        <w:pStyle w:val="NormalWeb"/>
      </w:pPr>
      <w:r>
        <w:rPr>
          <w:rFonts w:ascii="AkzidenzGrotesk" w:hAnsi="AkzidenzGrotesk"/>
          <w:sz w:val="20"/>
          <w:szCs w:val="20"/>
        </w:rPr>
        <w:t xml:space="preserve">The Remuneration Committee is responsible for determining and recommending to the Board the remuneration of the Company’s Chairman, Executive Directors and other members of the Executive Management. It is also responsible for the design of all share incentive plans </w:t>
      </w:r>
    </w:p>
    <w:p w:rsidR="00F027FB" w:rsidRDefault="00F027FB" w:rsidP="00F027FB">
      <w:pPr>
        <w:pStyle w:val="NormalWeb"/>
      </w:pPr>
      <w:r>
        <w:rPr>
          <w:rFonts w:ascii="AkzidenzGrotesk" w:hAnsi="AkzidenzGrotesk"/>
          <w:sz w:val="20"/>
          <w:szCs w:val="20"/>
        </w:rPr>
        <w:t xml:space="preserve">and the determination each year of individual awards to Executive Directors and other senior executives and the performance targets to be used. </w:t>
      </w:r>
    </w:p>
    <w:p w:rsidR="00F027FB" w:rsidRDefault="00F027FB" w:rsidP="00F027FB">
      <w:pPr>
        <w:pStyle w:val="NormalWeb"/>
      </w:pPr>
      <w:r>
        <w:rPr>
          <w:rFonts w:ascii="AkzidenzGrotesk" w:hAnsi="AkzidenzGrotesk"/>
          <w:sz w:val="20"/>
          <w:szCs w:val="20"/>
        </w:rPr>
        <w:t xml:space="preserve">Throughout the financial year ended 31 December 2016, the Remuneration Committee consisted of Jonathan Murphy (Chairman) and Bruce A. I. </w:t>
      </w:r>
      <w:proofErr w:type="spellStart"/>
      <w:r>
        <w:rPr>
          <w:rFonts w:ascii="AkzidenzGrotesk" w:hAnsi="AkzidenzGrotesk"/>
          <w:sz w:val="20"/>
          <w:szCs w:val="20"/>
        </w:rPr>
        <w:t>Dingwall</w:t>
      </w:r>
      <w:proofErr w:type="spellEnd"/>
      <w:r>
        <w:rPr>
          <w:rFonts w:ascii="AkzidenzGrotesk" w:hAnsi="AkzidenzGrotesk"/>
          <w:sz w:val="20"/>
          <w:szCs w:val="20"/>
        </w:rPr>
        <w:t xml:space="preserve"> CBE. Mr. </w:t>
      </w:r>
      <w:proofErr w:type="spellStart"/>
      <w:r>
        <w:rPr>
          <w:rFonts w:ascii="AkzidenzGrotesk" w:hAnsi="AkzidenzGrotesk"/>
          <w:sz w:val="20"/>
          <w:szCs w:val="20"/>
        </w:rPr>
        <w:t>Dingwall</w:t>
      </w:r>
      <w:proofErr w:type="spellEnd"/>
      <w:r>
        <w:rPr>
          <w:rFonts w:ascii="AkzidenzGrotesk" w:hAnsi="AkzidenzGrotesk"/>
          <w:sz w:val="20"/>
          <w:szCs w:val="20"/>
        </w:rPr>
        <w:t xml:space="preserve"> had been appointed to the Remuneration Committee on an interim basis until additional Directors were appointed to the Board. The Directors endeavour to comply with the terms</w:t>
      </w:r>
      <w:r>
        <w:rPr>
          <w:rFonts w:ascii="AkzidenzGrotesk" w:hAnsi="AkzidenzGrotesk"/>
          <w:sz w:val="20"/>
          <w:szCs w:val="20"/>
        </w:rPr>
        <w:br/>
        <w:t>of reference as far as practical. However, the Directors recognise that as there were no independent Directors</w:t>
      </w:r>
      <w:r>
        <w:rPr>
          <w:rFonts w:ascii="AkzidenzGrotesk" w:hAnsi="AkzidenzGrotesk"/>
          <w:sz w:val="20"/>
          <w:szCs w:val="20"/>
        </w:rPr>
        <w:br/>
      </w:r>
      <w:r>
        <w:rPr>
          <w:rFonts w:ascii="AkzidenzGrotesk" w:hAnsi="AkzidenzGrotesk"/>
          <w:sz w:val="20"/>
          <w:szCs w:val="20"/>
        </w:rPr>
        <w:lastRenderedPageBreak/>
        <w:t xml:space="preserve">on the Remuneration Committee throughout the financial year ended 31 December 2016; the terms of reference were not being complied with in full. </w:t>
      </w:r>
    </w:p>
    <w:p w:rsidR="00F027FB" w:rsidRPr="00206520" w:rsidRDefault="00206520">
      <w:pPr>
        <w:rPr>
          <w:rFonts w:asciiTheme="minorHAnsi" w:hAnsiTheme="minorHAnsi"/>
        </w:rPr>
      </w:pPr>
      <w:r w:rsidRPr="00206520">
        <w:rPr>
          <w:rFonts w:asciiTheme="minorHAnsi" w:hAnsiTheme="minorHAnsi"/>
        </w:rPr>
        <w:t>Company Auditors are PWC who are also the remuneration consultants. This is bad corporate governance</w:t>
      </w:r>
      <w:r w:rsidR="00331788">
        <w:rPr>
          <w:rFonts w:asciiTheme="minorHAnsi" w:hAnsiTheme="minorHAnsi"/>
        </w:rPr>
        <w:t>,</w:t>
      </w:r>
      <w:r w:rsidRPr="00206520">
        <w:rPr>
          <w:rFonts w:asciiTheme="minorHAnsi" w:hAnsiTheme="minorHAnsi"/>
        </w:rPr>
        <w:t xml:space="preserve"> as there is a potential conflict of interest.</w:t>
      </w:r>
    </w:p>
    <w:p w:rsidR="00F96C43" w:rsidRPr="00206520" w:rsidRDefault="00F96C43">
      <w:pPr>
        <w:rPr>
          <w:rFonts w:asciiTheme="minorHAnsi" w:hAnsiTheme="minorHAnsi"/>
        </w:rPr>
      </w:pPr>
    </w:p>
    <w:p w:rsidR="00F96C43" w:rsidRPr="00206520" w:rsidRDefault="00F96C43">
      <w:pPr>
        <w:rPr>
          <w:rFonts w:asciiTheme="minorHAnsi" w:hAnsiTheme="minorHAnsi"/>
          <w:b/>
        </w:rPr>
      </w:pPr>
      <w:r w:rsidRPr="00206520">
        <w:rPr>
          <w:rFonts w:asciiTheme="minorHAnsi" w:hAnsiTheme="minorHAnsi"/>
          <w:b/>
        </w:rPr>
        <w:t>N4 Pharma</w:t>
      </w:r>
    </w:p>
    <w:p w:rsidR="00206520" w:rsidRPr="00206520" w:rsidRDefault="007B694F" w:rsidP="007B694F">
      <w:pPr>
        <w:rPr>
          <w:rFonts w:asciiTheme="minorHAnsi" w:hAnsiTheme="minorHAnsi"/>
        </w:rPr>
      </w:pPr>
      <w:r w:rsidRPr="00206520">
        <w:rPr>
          <w:rFonts w:asciiTheme="minorHAnsi" w:hAnsiTheme="minorHAnsi"/>
        </w:rPr>
        <w:t>Note I have bought some shares</w:t>
      </w:r>
      <w:r w:rsidR="00CB78FF" w:rsidRPr="00206520">
        <w:rPr>
          <w:rFonts w:asciiTheme="minorHAnsi" w:hAnsiTheme="minorHAnsi"/>
        </w:rPr>
        <w:t xml:space="preserve"> at c.08.03 on 9 Nov 2017</w:t>
      </w:r>
      <w:r w:rsidRPr="00206520">
        <w:rPr>
          <w:rFonts w:asciiTheme="minorHAnsi" w:hAnsiTheme="minorHAnsi"/>
        </w:rPr>
        <w:t xml:space="preserve"> and may buy some more.</w:t>
      </w:r>
      <w:r w:rsidR="00AC1582" w:rsidRPr="00206520">
        <w:rPr>
          <w:rFonts w:asciiTheme="minorHAnsi" w:hAnsiTheme="minorHAnsi"/>
        </w:rPr>
        <w:t xml:space="preserve"> </w:t>
      </w:r>
      <w:r w:rsidR="00206520" w:rsidRPr="00206520">
        <w:rPr>
          <w:rFonts w:asciiTheme="minorHAnsi" w:hAnsiTheme="minorHAnsi"/>
        </w:rPr>
        <w:t>N4 Pharma are up 33% today (9 Nov) after presenting at ShareSoc investor event.</w:t>
      </w:r>
      <w:r w:rsidR="009F5759">
        <w:rPr>
          <w:rFonts w:asciiTheme="minorHAnsi" w:hAnsiTheme="minorHAnsi"/>
        </w:rPr>
        <w:t xml:space="preserve"> This is a tiny (£5m market cap) company and high risk, but pays its CEO modest cash pay with lots of equity. The sort of remuneration package I like to see in the companies in which I invest.</w:t>
      </w:r>
    </w:p>
    <w:p w:rsidR="00F96C43" w:rsidRDefault="00F96C43"/>
    <w:p w:rsidR="0022731F" w:rsidRPr="00206520" w:rsidRDefault="00206520">
      <w:pPr>
        <w:rPr>
          <w:b/>
        </w:rPr>
      </w:pPr>
      <w:r w:rsidRPr="00206520">
        <w:rPr>
          <w:b/>
        </w:rPr>
        <w:t xml:space="preserve">Notes on Remuneration </w:t>
      </w:r>
    </w:p>
    <w:p w:rsidR="00206520" w:rsidRDefault="00206520"/>
    <w:p w:rsidR="00206520" w:rsidRDefault="00206520">
      <w:r>
        <w:t>Extract from Admission document.</w:t>
      </w:r>
    </w:p>
    <w:p w:rsidR="00F91B81" w:rsidRDefault="00F91B81">
      <w:pPr>
        <w:rPr>
          <w:rFonts w:ascii="TimesNewRomanPS" w:hAnsi="TimesNewRomanPS"/>
          <w:sz w:val="22"/>
          <w:szCs w:val="22"/>
        </w:rPr>
      </w:pPr>
      <w:r>
        <w:rPr>
          <w:rFonts w:ascii="TimesNewRomanPS" w:hAnsi="TimesNewRomanPS"/>
          <w:sz w:val="22"/>
          <w:szCs w:val="22"/>
        </w:rPr>
        <w:t xml:space="preserve">pursuant to a service agreement dated 13 April 2017 between Nigel Theobald and the Company, Nigel Theobald will be appointed Chief Executive of the Enlarged Group with effect from Admission. Subject to and conditional upon Admission his remuneration is </w:t>
      </w:r>
      <w:r w:rsidRPr="00F91B81">
        <w:rPr>
          <w:rFonts w:ascii="TimesNewRomanPS" w:hAnsi="TimesNewRomanPS"/>
          <w:sz w:val="22"/>
          <w:szCs w:val="22"/>
          <w:highlight w:val="yellow"/>
        </w:rPr>
        <w:t>£70,000 per annum</w:t>
      </w:r>
      <w:r>
        <w:rPr>
          <w:rFonts w:ascii="TimesNewRomanPS" w:hAnsi="TimesNewRomanPS"/>
          <w:sz w:val="22"/>
          <w:szCs w:val="22"/>
        </w:rPr>
        <w:t>. The term of the service agreement will be for a period of 12 months commencing on Admission and may be terminated at any time thereafter by either party by 6 months’ prior written notice;</w:t>
      </w:r>
    </w:p>
    <w:p w:rsidR="00F91B81" w:rsidRDefault="00F91B81">
      <w:pPr>
        <w:rPr>
          <w:rFonts w:ascii="TimesNewRomanPS" w:hAnsi="TimesNewRomanPS"/>
          <w:sz w:val="22"/>
          <w:szCs w:val="22"/>
        </w:rPr>
      </w:pPr>
    </w:p>
    <w:p w:rsidR="0022731F" w:rsidRDefault="0022731F">
      <w:pPr>
        <w:rPr>
          <w:rFonts w:ascii="TimesNewRomanPS" w:hAnsi="TimesNewRomanPS"/>
          <w:sz w:val="22"/>
          <w:szCs w:val="22"/>
        </w:rPr>
      </w:pPr>
      <w:r>
        <w:rPr>
          <w:rFonts w:ascii="TimesNewRomanPS" w:hAnsi="TimesNewRomanPS"/>
          <w:sz w:val="22"/>
          <w:szCs w:val="22"/>
        </w:rPr>
        <w:t>I could not find the shares and options for CEO Nigel Theobald in th</w:t>
      </w:r>
      <w:r w:rsidR="00206520">
        <w:rPr>
          <w:rFonts w:ascii="TimesNewRomanPS" w:hAnsi="TimesNewRomanPS"/>
          <w:sz w:val="22"/>
          <w:szCs w:val="22"/>
        </w:rPr>
        <w:t>e admission document,</w:t>
      </w:r>
      <w:r>
        <w:rPr>
          <w:rFonts w:ascii="TimesNewRomanPS" w:hAnsi="TimesNewRomanPS"/>
          <w:sz w:val="22"/>
          <w:szCs w:val="22"/>
        </w:rPr>
        <w:t xml:space="preserve"> but AJ Bell</w:t>
      </w:r>
      <w:r>
        <w:rPr>
          <w:rFonts w:ascii="TimesNewRomanPS" w:hAnsi="TimesNewRomanPS" w:hint="eastAsia"/>
          <w:sz w:val="22"/>
          <w:szCs w:val="22"/>
        </w:rPr>
        <w:t>’</w:t>
      </w:r>
      <w:r>
        <w:rPr>
          <w:rFonts w:ascii="TimesNewRomanPS" w:hAnsi="TimesNewRomanPS"/>
          <w:sz w:val="22"/>
          <w:szCs w:val="22"/>
        </w:rPr>
        <w:t xml:space="preserve">s website The </w:t>
      </w:r>
      <w:proofErr w:type="spellStart"/>
      <w:r>
        <w:rPr>
          <w:rFonts w:ascii="TimesNewRomanPS" w:hAnsi="TimesNewRomanPS"/>
          <w:sz w:val="22"/>
          <w:szCs w:val="22"/>
        </w:rPr>
        <w:t>ShareCentre</w:t>
      </w:r>
      <w:proofErr w:type="spellEnd"/>
      <w:r>
        <w:rPr>
          <w:rFonts w:ascii="TimesNewRomanPS" w:hAnsi="TimesNewRomanPS"/>
          <w:sz w:val="22"/>
          <w:szCs w:val="22"/>
        </w:rPr>
        <w:t xml:space="preserve"> provided me with this info – He owns 12m shares (about £0. 75m @5.75p) 16% of the company, so is aligned well with other shareholders</w:t>
      </w:r>
      <w:r w:rsidR="00206520">
        <w:rPr>
          <w:rFonts w:ascii="TimesNewRomanPS" w:hAnsi="TimesNewRomanPS"/>
          <w:sz w:val="22"/>
          <w:szCs w:val="22"/>
        </w:rPr>
        <w:t>, see below</w:t>
      </w:r>
      <w:r>
        <w:rPr>
          <w:rFonts w:ascii="TimesNewRomanPS" w:hAnsi="TimesNewRomanPS"/>
          <w:sz w:val="22"/>
          <w:szCs w:val="22"/>
        </w:rPr>
        <w:t xml:space="preserve">. </w:t>
      </w:r>
    </w:p>
    <w:p w:rsidR="0022731F" w:rsidRDefault="0022731F">
      <w:pPr>
        <w:rPr>
          <w:rFonts w:ascii="TimesNewRomanPS" w:hAnsi="TimesNewRomanPS"/>
          <w:sz w:val="22"/>
          <w:szCs w:val="22"/>
        </w:rPr>
      </w:pPr>
    </w:p>
    <w:p w:rsidR="0022731F" w:rsidRDefault="0022731F">
      <w:pPr>
        <w:rPr>
          <w:rFonts w:ascii="TimesNewRomanPS" w:hAnsi="TimesNewRomanPS"/>
          <w:sz w:val="22"/>
          <w:szCs w:val="22"/>
        </w:rPr>
      </w:pPr>
    </w:p>
    <w:p w:rsidR="0022731F" w:rsidRPr="0022731F" w:rsidRDefault="0022731F" w:rsidP="0022731F">
      <w:pPr>
        <w:spacing w:after="360"/>
        <w:outlineLvl w:val="0"/>
        <w:rPr>
          <w:rFonts w:ascii="Georgia" w:eastAsia="Times New Roman" w:hAnsi="Georgia" w:cs="Times New Roman"/>
          <w:color w:val="C10A27"/>
          <w:kern w:val="36"/>
          <w:sz w:val="39"/>
          <w:szCs w:val="39"/>
        </w:rPr>
      </w:pPr>
      <w:r w:rsidRPr="0022731F">
        <w:rPr>
          <w:rFonts w:ascii="Georgia" w:eastAsia="Times New Roman" w:hAnsi="Georgia" w:cs="Times New Roman"/>
          <w:color w:val="C10A27"/>
          <w:kern w:val="36"/>
          <w:sz w:val="39"/>
          <w:szCs w:val="39"/>
        </w:rPr>
        <w:t>N4 Pharma PLC N4P</w:t>
      </w:r>
    </w:p>
    <w:tbl>
      <w:tblPr>
        <w:tblW w:w="10545" w:type="dxa"/>
        <w:tblCellMar>
          <w:top w:w="15" w:type="dxa"/>
          <w:left w:w="15" w:type="dxa"/>
          <w:bottom w:w="15" w:type="dxa"/>
          <w:right w:w="15" w:type="dxa"/>
        </w:tblCellMar>
        <w:tblLook w:val="04A0"/>
      </w:tblPr>
      <w:tblGrid>
        <w:gridCol w:w="4789"/>
        <w:gridCol w:w="1080"/>
        <w:gridCol w:w="2443"/>
        <w:gridCol w:w="2233"/>
      </w:tblGrid>
      <w:tr w:rsidR="0022731F" w:rsidRPr="0022731F" w:rsidTr="0022731F">
        <w:trPr>
          <w:trHeight w:val="383"/>
          <w:tblHeader/>
        </w:trPr>
        <w:tc>
          <w:tcPr>
            <w:tcW w:w="0" w:type="auto"/>
            <w:gridSpan w:val="4"/>
            <w:tcBorders>
              <w:top w:val="nil"/>
              <w:left w:val="nil"/>
              <w:bottom w:val="nil"/>
              <w:right w:val="nil"/>
            </w:tcBorders>
            <w:shd w:val="clear" w:color="auto" w:fill="auto"/>
            <w:tcMar>
              <w:top w:w="30" w:type="dxa"/>
              <w:left w:w="0" w:type="dxa"/>
              <w:bottom w:w="45" w:type="dxa"/>
              <w:right w:w="0" w:type="dxa"/>
            </w:tcMar>
            <w:vAlign w:val="center"/>
            <w:hideMark/>
          </w:tcPr>
          <w:p w:rsidR="0022731F" w:rsidRPr="0022731F" w:rsidRDefault="0022731F" w:rsidP="0022731F">
            <w:pPr>
              <w:pBdr>
                <w:top w:val="single" w:sz="12" w:space="2" w:color="797979"/>
                <w:bottom w:val="single" w:sz="6" w:space="9" w:color="CCCCCC"/>
              </w:pBdr>
              <w:rPr>
                <w:rFonts w:eastAsia="Times New Roman" w:cs="Times New Roman"/>
                <w:sz w:val="34"/>
                <w:szCs w:val="34"/>
              </w:rPr>
            </w:pPr>
            <w:r w:rsidRPr="0022731F">
              <w:rPr>
                <w:rFonts w:eastAsia="Times New Roman" w:cs="Times New Roman"/>
                <w:sz w:val="34"/>
                <w:szCs w:val="34"/>
              </w:rPr>
              <w:t>Major Shareholders</w:t>
            </w:r>
          </w:p>
        </w:tc>
      </w:tr>
      <w:tr w:rsidR="0022731F" w:rsidRPr="0022731F" w:rsidTr="0022731F">
        <w:trPr>
          <w:trHeight w:val="383"/>
          <w:tblHeader/>
        </w:trPr>
        <w:tc>
          <w:tcPr>
            <w:tcW w:w="0" w:type="auto"/>
            <w:tcBorders>
              <w:bottom w:val="single" w:sz="6" w:space="0" w:color="D6D6D6"/>
            </w:tcBorders>
            <w:shd w:val="clear" w:color="auto" w:fill="auto"/>
            <w:tcMar>
              <w:top w:w="30" w:type="dxa"/>
              <w:left w:w="0" w:type="dxa"/>
              <w:bottom w:w="45" w:type="dxa"/>
              <w:right w:w="0" w:type="dxa"/>
            </w:tcMar>
            <w:hideMark/>
          </w:tcPr>
          <w:p w:rsidR="0022731F" w:rsidRPr="0022731F" w:rsidRDefault="0022731F" w:rsidP="0022731F">
            <w:pPr>
              <w:rPr>
                <w:rFonts w:eastAsia="Times New Roman" w:cs="Times New Roman"/>
                <w:b/>
                <w:bCs/>
              </w:rPr>
            </w:pPr>
            <w:r w:rsidRPr="0022731F">
              <w:rPr>
                <w:rFonts w:eastAsia="Times New Roman" w:cs="Times New Roman"/>
                <w:b/>
                <w:bCs/>
              </w:rPr>
              <w:t>Name</w:t>
            </w:r>
          </w:p>
        </w:tc>
        <w:tc>
          <w:tcPr>
            <w:tcW w:w="0" w:type="auto"/>
            <w:tcBorders>
              <w:bottom w:val="single" w:sz="6" w:space="0" w:color="D6D6D6"/>
            </w:tcBorders>
            <w:shd w:val="clear" w:color="auto" w:fill="auto"/>
            <w:tcMar>
              <w:top w:w="30" w:type="dxa"/>
              <w:left w:w="0" w:type="dxa"/>
              <w:bottom w:w="45" w:type="dxa"/>
              <w:right w:w="0" w:type="dxa"/>
            </w:tcMar>
            <w:hideMark/>
          </w:tcPr>
          <w:p w:rsidR="0022731F" w:rsidRPr="0022731F" w:rsidRDefault="0022731F" w:rsidP="0022731F">
            <w:pPr>
              <w:rPr>
                <w:rFonts w:eastAsia="Times New Roman" w:cs="Times New Roman"/>
                <w:b/>
                <w:bCs/>
              </w:rPr>
            </w:pPr>
            <w:r w:rsidRPr="0022731F">
              <w:rPr>
                <w:rFonts w:eastAsia="Times New Roman" w:cs="Times New Roman"/>
                <w:b/>
                <w:bCs/>
              </w:rPr>
              <w:t>Type</w:t>
            </w:r>
          </w:p>
        </w:tc>
        <w:tc>
          <w:tcPr>
            <w:tcW w:w="0" w:type="auto"/>
            <w:tcBorders>
              <w:bottom w:val="single" w:sz="6" w:space="0" w:color="D6D6D6"/>
            </w:tcBorders>
            <w:shd w:val="clear" w:color="auto" w:fill="auto"/>
            <w:tcMar>
              <w:top w:w="30" w:type="dxa"/>
              <w:left w:w="0" w:type="dxa"/>
              <w:bottom w:w="45" w:type="dxa"/>
              <w:right w:w="0" w:type="dxa"/>
            </w:tcMar>
            <w:hideMark/>
          </w:tcPr>
          <w:p w:rsidR="0022731F" w:rsidRPr="0022731F" w:rsidRDefault="0022731F" w:rsidP="0022731F">
            <w:pPr>
              <w:jc w:val="right"/>
              <w:rPr>
                <w:rFonts w:eastAsia="Times New Roman" w:cs="Times New Roman"/>
                <w:b/>
                <w:bCs/>
              </w:rPr>
            </w:pPr>
            <w:r w:rsidRPr="0022731F">
              <w:rPr>
                <w:rFonts w:eastAsia="Times New Roman" w:cs="Times New Roman"/>
                <w:b/>
                <w:bCs/>
              </w:rPr>
              <w:t>Amount</w:t>
            </w:r>
          </w:p>
        </w:tc>
        <w:tc>
          <w:tcPr>
            <w:tcW w:w="0" w:type="auto"/>
            <w:tcBorders>
              <w:bottom w:val="single" w:sz="6" w:space="0" w:color="D6D6D6"/>
            </w:tcBorders>
            <w:shd w:val="clear" w:color="auto" w:fill="auto"/>
            <w:tcMar>
              <w:top w:w="30" w:type="dxa"/>
              <w:left w:w="0" w:type="dxa"/>
              <w:bottom w:w="45" w:type="dxa"/>
              <w:right w:w="0" w:type="dxa"/>
            </w:tcMar>
            <w:hideMark/>
          </w:tcPr>
          <w:p w:rsidR="0022731F" w:rsidRPr="0022731F" w:rsidRDefault="0022731F" w:rsidP="0022731F">
            <w:pPr>
              <w:jc w:val="right"/>
              <w:rPr>
                <w:rFonts w:eastAsia="Times New Roman" w:cs="Times New Roman"/>
                <w:b/>
                <w:bCs/>
              </w:rPr>
            </w:pPr>
            <w:r w:rsidRPr="0022731F">
              <w:rPr>
                <w:rFonts w:eastAsia="Times New Roman" w:cs="Times New Roman"/>
                <w:b/>
                <w:bCs/>
              </w:rPr>
              <w:t>Holding %</w:t>
            </w:r>
          </w:p>
        </w:tc>
      </w:tr>
      <w:tr w:rsidR="0022731F" w:rsidRPr="0022731F" w:rsidTr="0022731F">
        <w:trPr>
          <w:trHeight w:val="390"/>
        </w:trPr>
        <w:tc>
          <w:tcPr>
            <w:tcW w:w="0" w:type="auto"/>
            <w:tcBorders>
              <w:bottom w:val="single" w:sz="6" w:space="0" w:color="D6D6D6"/>
            </w:tcBorders>
            <w:shd w:val="clear" w:color="auto" w:fill="auto"/>
            <w:tcMar>
              <w:top w:w="30" w:type="dxa"/>
              <w:left w:w="0" w:type="dxa"/>
              <w:bottom w:w="45" w:type="dxa"/>
              <w:right w:w="0" w:type="dxa"/>
            </w:tcMar>
            <w:hideMark/>
          </w:tcPr>
          <w:p w:rsidR="0022731F" w:rsidRPr="0022731F" w:rsidRDefault="0022731F" w:rsidP="0022731F">
            <w:pPr>
              <w:rPr>
                <w:rFonts w:eastAsia="Times New Roman" w:cs="Times New Roman"/>
              </w:rPr>
            </w:pPr>
            <w:r w:rsidRPr="0022731F">
              <w:rPr>
                <w:rFonts w:eastAsia="Times New Roman" w:cs="Times New Roman"/>
              </w:rPr>
              <w:t>Nigel James Theobald</w:t>
            </w:r>
          </w:p>
        </w:tc>
        <w:tc>
          <w:tcPr>
            <w:tcW w:w="0" w:type="auto"/>
            <w:tcBorders>
              <w:bottom w:val="single" w:sz="6" w:space="0" w:color="D6D6D6"/>
            </w:tcBorders>
            <w:shd w:val="clear" w:color="auto" w:fill="auto"/>
            <w:tcMar>
              <w:top w:w="30" w:type="dxa"/>
              <w:left w:w="0" w:type="dxa"/>
              <w:bottom w:w="45" w:type="dxa"/>
              <w:right w:w="0" w:type="dxa"/>
            </w:tcMar>
            <w:hideMark/>
          </w:tcPr>
          <w:p w:rsidR="0022731F" w:rsidRPr="0022731F" w:rsidRDefault="0022731F" w:rsidP="0022731F">
            <w:pPr>
              <w:rPr>
                <w:rFonts w:eastAsia="Times New Roman" w:cs="Times New Roman"/>
              </w:rPr>
            </w:pPr>
            <w:r w:rsidRPr="0022731F">
              <w:rPr>
                <w:rFonts w:eastAsia="Times New Roman" w:cs="Times New Roman"/>
              </w:rPr>
              <w:t>-</w:t>
            </w:r>
          </w:p>
        </w:tc>
        <w:tc>
          <w:tcPr>
            <w:tcW w:w="0" w:type="auto"/>
            <w:tcBorders>
              <w:bottom w:val="single" w:sz="6" w:space="0" w:color="D6D6D6"/>
            </w:tcBorders>
            <w:shd w:val="clear" w:color="auto" w:fill="auto"/>
            <w:tcMar>
              <w:top w:w="30" w:type="dxa"/>
              <w:left w:w="0" w:type="dxa"/>
              <w:bottom w:w="45" w:type="dxa"/>
              <w:right w:w="0" w:type="dxa"/>
            </w:tcMar>
            <w:hideMark/>
          </w:tcPr>
          <w:p w:rsidR="0022731F" w:rsidRPr="0022731F" w:rsidRDefault="0022731F" w:rsidP="0022731F">
            <w:pPr>
              <w:jc w:val="right"/>
              <w:rPr>
                <w:rFonts w:eastAsia="Times New Roman" w:cs="Times New Roman"/>
              </w:rPr>
            </w:pPr>
            <w:r w:rsidRPr="0022731F">
              <w:rPr>
                <w:rFonts w:eastAsia="Times New Roman" w:cs="Times New Roman"/>
              </w:rPr>
              <w:t>12,198,577</w:t>
            </w:r>
          </w:p>
        </w:tc>
        <w:tc>
          <w:tcPr>
            <w:tcW w:w="0" w:type="auto"/>
            <w:tcBorders>
              <w:bottom w:val="single" w:sz="6" w:space="0" w:color="D6D6D6"/>
            </w:tcBorders>
            <w:shd w:val="clear" w:color="auto" w:fill="auto"/>
            <w:tcMar>
              <w:top w:w="30" w:type="dxa"/>
              <w:left w:w="0" w:type="dxa"/>
              <w:bottom w:w="45" w:type="dxa"/>
              <w:right w:w="0" w:type="dxa"/>
            </w:tcMar>
            <w:hideMark/>
          </w:tcPr>
          <w:p w:rsidR="0022731F" w:rsidRPr="0022731F" w:rsidRDefault="0022731F" w:rsidP="0022731F">
            <w:pPr>
              <w:jc w:val="right"/>
              <w:rPr>
                <w:rFonts w:eastAsia="Times New Roman" w:cs="Times New Roman"/>
              </w:rPr>
            </w:pPr>
            <w:r w:rsidRPr="0022731F">
              <w:rPr>
                <w:rFonts w:eastAsia="Times New Roman" w:cs="Times New Roman"/>
              </w:rPr>
              <w:t>16.33</w:t>
            </w:r>
          </w:p>
        </w:tc>
      </w:tr>
      <w:tr w:rsidR="0022731F" w:rsidRPr="0022731F" w:rsidTr="0022731F">
        <w:trPr>
          <w:trHeight w:val="390"/>
        </w:trPr>
        <w:tc>
          <w:tcPr>
            <w:tcW w:w="0" w:type="auto"/>
            <w:tcBorders>
              <w:bottom w:val="single" w:sz="6" w:space="0" w:color="D6D6D6"/>
            </w:tcBorders>
            <w:shd w:val="clear" w:color="auto" w:fill="auto"/>
            <w:tcMar>
              <w:top w:w="30" w:type="dxa"/>
              <w:left w:w="0" w:type="dxa"/>
              <w:bottom w:w="45" w:type="dxa"/>
              <w:right w:w="0" w:type="dxa"/>
            </w:tcMar>
            <w:hideMark/>
          </w:tcPr>
          <w:p w:rsidR="0022731F" w:rsidRPr="0022731F" w:rsidRDefault="0022731F" w:rsidP="0022731F">
            <w:pPr>
              <w:rPr>
                <w:rFonts w:eastAsia="Times New Roman" w:cs="Times New Roman"/>
              </w:rPr>
            </w:pPr>
            <w:r w:rsidRPr="0022731F">
              <w:rPr>
                <w:rFonts w:eastAsia="Times New Roman" w:cs="Times New Roman"/>
              </w:rPr>
              <w:t>Peel Hunt LLP</w:t>
            </w:r>
          </w:p>
        </w:tc>
        <w:tc>
          <w:tcPr>
            <w:tcW w:w="0" w:type="auto"/>
            <w:tcBorders>
              <w:bottom w:val="single" w:sz="6" w:space="0" w:color="D6D6D6"/>
            </w:tcBorders>
            <w:shd w:val="clear" w:color="auto" w:fill="auto"/>
            <w:tcMar>
              <w:top w:w="30" w:type="dxa"/>
              <w:left w:w="0" w:type="dxa"/>
              <w:bottom w:w="45" w:type="dxa"/>
              <w:right w:w="0" w:type="dxa"/>
            </w:tcMar>
            <w:hideMark/>
          </w:tcPr>
          <w:p w:rsidR="0022731F" w:rsidRPr="0022731F" w:rsidRDefault="0022731F" w:rsidP="0022731F">
            <w:pPr>
              <w:rPr>
                <w:rFonts w:eastAsia="Times New Roman" w:cs="Times New Roman"/>
              </w:rPr>
            </w:pPr>
            <w:r w:rsidRPr="0022731F">
              <w:rPr>
                <w:rFonts w:eastAsia="Times New Roman" w:cs="Times New Roman"/>
              </w:rPr>
              <w:t>-</w:t>
            </w:r>
          </w:p>
        </w:tc>
        <w:tc>
          <w:tcPr>
            <w:tcW w:w="0" w:type="auto"/>
            <w:tcBorders>
              <w:bottom w:val="single" w:sz="6" w:space="0" w:color="D6D6D6"/>
            </w:tcBorders>
            <w:shd w:val="clear" w:color="auto" w:fill="auto"/>
            <w:tcMar>
              <w:top w:w="30" w:type="dxa"/>
              <w:left w:w="0" w:type="dxa"/>
              <w:bottom w:w="45" w:type="dxa"/>
              <w:right w:w="0" w:type="dxa"/>
            </w:tcMar>
            <w:hideMark/>
          </w:tcPr>
          <w:p w:rsidR="0022731F" w:rsidRPr="0022731F" w:rsidRDefault="0022731F" w:rsidP="0022731F">
            <w:pPr>
              <w:jc w:val="right"/>
              <w:rPr>
                <w:rFonts w:eastAsia="Times New Roman" w:cs="Times New Roman"/>
              </w:rPr>
            </w:pPr>
            <w:r w:rsidRPr="0022731F">
              <w:rPr>
                <w:rFonts w:eastAsia="Times New Roman" w:cs="Times New Roman"/>
              </w:rPr>
              <w:t>7,200,622</w:t>
            </w:r>
          </w:p>
        </w:tc>
        <w:tc>
          <w:tcPr>
            <w:tcW w:w="0" w:type="auto"/>
            <w:tcBorders>
              <w:bottom w:val="single" w:sz="6" w:space="0" w:color="D6D6D6"/>
            </w:tcBorders>
            <w:shd w:val="clear" w:color="auto" w:fill="auto"/>
            <w:tcMar>
              <w:top w:w="30" w:type="dxa"/>
              <w:left w:w="0" w:type="dxa"/>
              <w:bottom w:w="45" w:type="dxa"/>
              <w:right w:w="0" w:type="dxa"/>
            </w:tcMar>
            <w:hideMark/>
          </w:tcPr>
          <w:p w:rsidR="0022731F" w:rsidRPr="0022731F" w:rsidRDefault="0022731F" w:rsidP="0022731F">
            <w:pPr>
              <w:jc w:val="right"/>
              <w:rPr>
                <w:rFonts w:eastAsia="Times New Roman" w:cs="Times New Roman"/>
              </w:rPr>
            </w:pPr>
            <w:r w:rsidRPr="0022731F">
              <w:rPr>
                <w:rFonts w:eastAsia="Times New Roman" w:cs="Times New Roman"/>
              </w:rPr>
              <w:t>9.64</w:t>
            </w:r>
          </w:p>
        </w:tc>
      </w:tr>
      <w:tr w:rsidR="0022731F" w:rsidRPr="0022731F" w:rsidTr="0022731F">
        <w:trPr>
          <w:trHeight w:val="390"/>
        </w:trPr>
        <w:tc>
          <w:tcPr>
            <w:tcW w:w="0" w:type="auto"/>
            <w:tcBorders>
              <w:bottom w:val="single" w:sz="6" w:space="0" w:color="D6D6D6"/>
            </w:tcBorders>
            <w:shd w:val="clear" w:color="auto" w:fill="auto"/>
            <w:tcMar>
              <w:top w:w="30" w:type="dxa"/>
              <w:left w:w="0" w:type="dxa"/>
              <w:bottom w:w="45" w:type="dxa"/>
              <w:right w:w="0" w:type="dxa"/>
            </w:tcMar>
            <w:hideMark/>
          </w:tcPr>
          <w:p w:rsidR="0022731F" w:rsidRPr="0022731F" w:rsidRDefault="0022731F" w:rsidP="0022731F">
            <w:pPr>
              <w:rPr>
                <w:rFonts w:eastAsia="Times New Roman" w:cs="Times New Roman"/>
              </w:rPr>
            </w:pPr>
            <w:r w:rsidRPr="0022731F">
              <w:rPr>
                <w:rFonts w:eastAsia="Times New Roman" w:cs="Times New Roman"/>
              </w:rPr>
              <w:t>Hargreaves Lansdown</w:t>
            </w:r>
          </w:p>
        </w:tc>
        <w:tc>
          <w:tcPr>
            <w:tcW w:w="0" w:type="auto"/>
            <w:tcBorders>
              <w:bottom w:val="single" w:sz="6" w:space="0" w:color="D6D6D6"/>
            </w:tcBorders>
            <w:shd w:val="clear" w:color="auto" w:fill="auto"/>
            <w:tcMar>
              <w:top w:w="30" w:type="dxa"/>
              <w:left w:w="0" w:type="dxa"/>
              <w:bottom w:w="45" w:type="dxa"/>
              <w:right w:w="0" w:type="dxa"/>
            </w:tcMar>
            <w:hideMark/>
          </w:tcPr>
          <w:p w:rsidR="0022731F" w:rsidRPr="0022731F" w:rsidRDefault="0022731F" w:rsidP="0022731F">
            <w:pPr>
              <w:rPr>
                <w:rFonts w:eastAsia="Times New Roman" w:cs="Times New Roman"/>
              </w:rPr>
            </w:pPr>
            <w:r w:rsidRPr="0022731F">
              <w:rPr>
                <w:rFonts w:eastAsia="Times New Roman" w:cs="Times New Roman"/>
              </w:rPr>
              <w:t>-</w:t>
            </w:r>
          </w:p>
        </w:tc>
        <w:tc>
          <w:tcPr>
            <w:tcW w:w="0" w:type="auto"/>
            <w:tcBorders>
              <w:bottom w:val="single" w:sz="6" w:space="0" w:color="D6D6D6"/>
            </w:tcBorders>
            <w:shd w:val="clear" w:color="auto" w:fill="auto"/>
            <w:tcMar>
              <w:top w:w="30" w:type="dxa"/>
              <w:left w:w="0" w:type="dxa"/>
              <w:bottom w:w="45" w:type="dxa"/>
              <w:right w:w="0" w:type="dxa"/>
            </w:tcMar>
            <w:hideMark/>
          </w:tcPr>
          <w:p w:rsidR="0022731F" w:rsidRPr="0022731F" w:rsidRDefault="0022731F" w:rsidP="0022731F">
            <w:pPr>
              <w:jc w:val="right"/>
              <w:rPr>
                <w:rFonts w:eastAsia="Times New Roman" w:cs="Times New Roman"/>
              </w:rPr>
            </w:pPr>
            <w:r w:rsidRPr="0022731F">
              <w:rPr>
                <w:rFonts w:eastAsia="Times New Roman" w:cs="Times New Roman"/>
              </w:rPr>
              <w:t>6,998,298</w:t>
            </w:r>
          </w:p>
        </w:tc>
        <w:tc>
          <w:tcPr>
            <w:tcW w:w="0" w:type="auto"/>
            <w:tcBorders>
              <w:bottom w:val="single" w:sz="6" w:space="0" w:color="D6D6D6"/>
            </w:tcBorders>
            <w:shd w:val="clear" w:color="auto" w:fill="auto"/>
            <w:tcMar>
              <w:top w:w="30" w:type="dxa"/>
              <w:left w:w="0" w:type="dxa"/>
              <w:bottom w:w="45" w:type="dxa"/>
              <w:right w:w="0" w:type="dxa"/>
            </w:tcMar>
            <w:hideMark/>
          </w:tcPr>
          <w:p w:rsidR="0022731F" w:rsidRPr="0022731F" w:rsidRDefault="0022731F" w:rsidP="0022731F">
            <w:pPr>
              <w:jc w:val="right"/>
              <w:rPr>
                <w:rFonts w:eastAsia="Times New Roman" w:cs="Times New Roman"/>
              </w:rPr>
            </w:pPr>
            <w:r w:rsidRPr="0022731F">
              <w:rPr>
                <w:rFonts w:eastAsia="Times New Roman" w:cs="Times New Roman"/>
              </w:rPr>
              <w:t>9.37</w:t>
            </w:r>
          </w:p>
        </w:tc>
      </w:tr>
      <w:tr w:rsidR="0022731F" w:rsidRPr="0022731F" w:rsidTr="0022731F">
        <w:trPr>
          <w:trHeight w:val="383"/>
          <w:tblHeader/>
        </w:trPr>
        <w:tc>
          <w:tcPr>
            <w:tcW w:w="0" w:type="auto"/>
            <w:gridSpan w:val="4"/>
            <w:tcBorders>
              <w:top w:val="nil"/>
              <w:left w:val="nil"/>
              <w:bottom w:val="nil"/>
              <w:right w:val="nil"/>
            </w:tcBorders>
            <w:shd w:val="clear" w:color="auto" w:fill="auto"/>
            <w:tcMar>
              <w:top w:w="30" w:type="dxa"/>
              <w:left w:w="0" w:type="dxa"/>
              <w:bottom w:w="45" w:type="dxa"/>
              <w:right w:w="0" w:type="dxa"/>
            </w:tcMar>
            <w:vAlign w:val="center"/>
            <w:hideMark/>
          </w:tcPr>
          <w:p w:rsidR="0022731F" w:rsidRPr="0022731F" w:rsidRDefault="0022731F" w:rsidP="0022731F">
            <w:pPr>
              <w:pBdr>
                <w:top w:val="single" w:sz="12" w:space="2" w:color="797979"/>
                <w:bottom w:val="single" w:sz="6" w:space="9" w:color="CCCCCC"/>
              </w:pBdr>
              <w:rPr>
                <w:rFonts w:eastAsia="Times New Roman" w:cs="Times New Roman"/>
                <w:sz w:val="34"/>
                <w:szCs w:val="34"/>
              </w:rPr>
            </w:pPr>
            <w:r w:rsidRPr="0022731F">
              <w:rPr>
                <w:rFonts w:eastAsia="Times New Roman" w:cs="Times New Roman"/>
                <w:sz w:val="34"/>
                <w:szCs w:val="34"/>
              </w:rPr>
              <w:t>Director Holdings</w:t>
            </w:r>
          </w:p>
        </w:tc>
      </w:tr>
      <w:tr w:rsidR="0022731F" w:rsidRPr="0022731F" w:rsidTr="0022731F">
        <w:trPr>
          <w:trHeight w:val="383"/>
          <w:tblHeader/>
        </w:trPr>
        <w:tc>
          <w:tcPr>
            <w:tcW w:w="0" w:type="auto"/>
            <w:tcBorders>
              <w:bottom w:val="single" w:sz="6" w:space="0" w:color="D6D6D6"/>
            </w:tcBorders>
            <w:shd w:val="clear" w:color="auto" w:fill="auto"/>
            <w:tcMar>
              <w:top w:w="30" w:type="dxa"/>
              <w:left w:w="0" w:type="dxa"/>
              <w:bottom w:w="45" w:type="dxa"/>
              <w:right w:w="0" w:type="dxa"/>
            </w:tcMar>
            <w:hideMark/>
          </w:tcPr>
          <w:p w:rsidR="0022731F" w:rsidRPr="0022731F" w:rsidRDefault="0022731F" w:rsidP="0022731F">
            <w:pPr>
              <w:rPr>
                <w:rFonts w:eastAsia="Times New Roman" w:cs="Times New Roman"/>
                <w:b/>
                <w:bCs/>
              </w:rPr>
            </w:pPr>
            <w:r w:rsidRPr="0022731F">
              <w:rPr>
                <w:rFonts w:eastAsia="Times New Roman" w:cs="Times New Roman"/>
                <w:b/>
                <w:bCs/>
              </w:rPr>
              <w:t>Name</w:t>
            </w:r>
          </w:p>
        </w:tc>
        <w:tc>
          <w:tcPr>
            <w:tcW w:w="0" w:type="auto"/>
            <w:tcBorders>
              <w:bottom w:val="single" w:sz="6" w:space="0" w:color="D6D6D6"/>
            </w:tcBorders>
            <w:shd w:val="clear" w:color="auto" w:fill="auto"/>
            <w:tcMar>
              <w:top w:w="30" w:type="dxa"/>
              <w:left w:w="0" w:type="dxa"/>
              <w:bottom w:w="45" w:type="dxa"/>
              <w:right w:w="0" w:type="dxa"/>
            </w:tcMar>
            <w:hideMark/>
          </w:tcPr>
          <w:p w:rsidR="0022731F" w:rsidRPr="0022731F" w:rsidRDefault="0022731F" w:rsidP="0022731F">
            <w:pPr>
              <w:rPr>
                <w:rFonts w:eastAsia="Times New Roman" w:cs="Times New Roman"/>
                <w:b/>
                <w:bCs/>
              </w:rPr>
            </w:pPr>
            <w:r w:rsidRPr="0022731F">
              <w:rPr>
                <w:rFonts w:eastAsia="Times New Roman" w:cs="Times New Roman"/>
                <w:b/>
                <w:bCs/>
              </w:rPr>
              <w:t>Type</w:t>
            </w:r>
          </w:p>
        </w:tc>
        <w:tc>
          <w:tcPr>
            <w:tcW w:w="0" w:type="auto"/>
            <w:tcBorders>
              <w:bottom w:val="single" w:sz="6" w:space="0" w:color="D6D6D6"/>
            </w:tcBorders>
            <w:shd w:val="clear" w:color="auto" w:fill="auto"/>
            <w:tcMar>
              <w:top w:w="30" w:type="dxa"/>
              <w:left w:w="0" w:type="dxa"/>
              <w:bottom w:w="45" w:type="dxa"/>
              <w:right w:w="0" w:type="dxa"/>
            </w:tcMar>
            <w:hideMark/>
          </w:tcPr>
          <w:p w:rsidR="0022731F" w:rsidRPr="0022731F" w:rsidRDefault="0022731F" w:rsidP="0022731F">
            <w:pPr>
              <w:jc w:val="right"/>
              <w:rPr>
                <w:rFonts w:eastAsia="Times New Roman" w:cs="Times New Roman"/>
                <w:b/>
                <w:bCs/>
              </w:rPr>
            </w:pPr>
            <w:r w:rsidRPr="0022731F">
              <w:rPr>
                <w:rFonts w:eastAsia="Times New Roman" w:cs="Times New Roman"/>
                <w:b/>
                <w:bCs/>
              </w:rPr>
              <w:t>Amount</w:t>
            </w:r>
          </w:p>
        </w:tc>
        <w:tc>
          <w:tcPr>
            <w:tcW w:w="0" w:type="auto"/>
            <w:tcBorders>
              <w:bottom w:val="single" w:sz="6" w:space="0" w:color="D6D6D6"/>
            </w:tcBorders>
            <w:shd w:val="clear" w:color="auto" w:fill="auto"/>
            <w:tcMar>
              <w:top w:w="30" w:type="dxa"/>
              <w:left w:w="0" w:type="dxa"/>
              <w:bottom w:w="45" w:type="dxa"/>
              <w:right w:w="0" w:type="dxa"/>
            </w:tcMar>
            <w:hideMark/>
          </w:tcPr>
          <w:p w:rsidR="0022731F" w:rsidRPr="0022731F" w:rsidRDefault="0022731F" w:rsidP="0022731F">
            <w:pPr>
              <w:jc w:val="right"/>
              <w:rPr>
                <w:rFonts w:eastAsia="Times New Roman" w:cs="Times New Roman"/>
                <w:b/>
                <w:bCs/>
              </w:rPr>
            </w:pPr>
            <w:r w:rsidRPr="0022731F">
              <w:rPr>
                <w:rFonts w:eastAsia="Times New Roman" w:cs="Times New Roman"/>
                <w:b/>
                <w:bCs/>
              </w:rPr>
              <w:t>Holding %</w:t>
            </w:r>
          </w:p>
        </w:tc>
      </w:tr>
      <w:tr w:rsidR="0022731F" w:rsidRPr="0022731F" w:rsidTr="0022731F">
        <w:trPr>
          <w:trHeight w:val="390"/>
        </w:trPr>
        <w:tc>
          <w:tcPr>
            <w:tcW w:w="0" w:type="auto"/>
            <w:tcBorders>
              <w:bottom w:val="single" w:sz="6" w:space="0" w:color="D6D6D6"/>
            </w:tcBorders>
            <w:shd w:val="clear" w:color="auto" w:fill="auto"/>
            <w:tcMar>
              <w:top w:w="30" w:type="dxa"/>
              <w:left w:w="0" w:type="dxa"/>
              <w:bottom w:w="45" w:type="dxa"/>
              <w:right w:w="0" w:type="dxa"/>
            </w:tcMar>
            <w:hideMark/>
          </w:tcPr>
          <w:p w:rsidR="0022731F" w:rsidRPr="0022731F" w:rsidRDefault="0022731F" w:rsidP="0022731F">
            <w:pPr>
              <w:rPr>
                <w:rFonts w:eastAsia="Times New Roman" w:cs="Times New Roman"/>
              </w:rPr>
            </w:pPr>
            <w:r w:rsidRPr="0022731F">
              <w:rPr>
                <w:rFonts w:eastAsia="Times New Roman" w:cs="Times New Roman"/>
              </w:rPr>
              <w:t>Luke Cairns</w:t>
            </w:r>
          </w:p>
        </w:tc>
        <w:tc>
          <w:tcPr>
            <w:tcW w:w="0" w:type="auto"/>
            <w:tcBorders>
              <w:bottom w:val="single" w:sz="6" w:space="0" w:color="D6D6D6"/>
            </w:tcBorders>
            <w:shd w:val="clear" w:color="auto" w:fill="auto"/>
            <w:tcMar>
              <w:top w:w="30" w:type="dxa"/>
              <w:left w:w="0" w:type="dxa"/>
              <w:bottom w:w="45" w:type="dxa"/>
              <w:right w:w="0" w:type="dxa"/>
            </w:tcMar>
            <w:hideMark/>
          </w:tcPr>
          <w:p w:rsidR="0022731F" w:rsidRPr="0022731F" w:rsidRDefault="0022731F" w:rsidP="0022731F">
            <w:pPr>
              <w:rPr>
                <w:rFonts w:eastAsia="Times New Roman" w:cs="Times New Roman"/>
              </w:rPr>
            </w:pPr>
            <w:r w:rsidRPr="0022731F">
              <w:rPr>
                <w:rFonts w:eastAsia="Times New Roman" w:cs="Times New Roman"/>
              </w:rPr>
              <w:t>-</w:t>
            </w:r>
          </w:p>
        </w:tc>
        <w:tc>
          <w:tcPr>
            <w:tcW w:w="0" w:type="auto"/>
            <w:tcBorders>
              <w:bottom w:val="single" w:sz="6" w:space="0" w:color="D6D6D6"/>
            </w:tcBorders>
            <w:shd w:val="clear" w:color="auto" w:fill="auto"/>
            <w:tcMar>
              <w:top w:w="30" w:type="dxa"/>
              <w:left w:w="0" w:type="dxa"/>
              <w:bottom w:w="45" w:type="dxa"/>
              <w:right w:w="0" w:type="dxa"/>
            </w:tcMar>
            <w:hideMark/>
          </w:tcPr>
          <w:p w:rsidR="0022731F" w:rsidRPr="0022731F" w:rsidRDefault="0022731F" w:rsidP="0022731F">
            <w:pPr>
              <w:jc w:val="right"/>
              <w:rPr>
                <w:rFonts w:eastAsia="Times New Roman" w:cs="Times New Roman"/>
              </w:rPr>
            </w:pPr>
            <w:r w:rsidRPr="0022731F">
              <w:rPr>
                <w:rFonts w:eastAsia="Times New Roman" w:cs="Times New Roman"/>
              </w:rPr>
              <w:t>142,857</w:t>
            </w:r>
          </w:p>
        </w:tc>
        <w:tc>
          <w:tcPr>
            <w:tcW w:w="0" w:type="auto"/>
            <w:tcBorders>
              <w:bottom w:val="single" w:sz="6" w:space="0" w:color="D6D6D6"/>
            </w:tcBorders>
            <w:shd w:val="clear" w:color="auto" w:fill="auto"/>
            <w:tcMar>
              <w:top w:w="30" w:type="dxa"/>
              <w:left w:w="0" w:type="dxa"/>
              <w:bottom w:w="45" w:type="dxa"/>
              <w:right w:w="0" w:type="dxa"/>
            </w:tcMar>
            <w:hideMark/>
          </w:tcPr>
          <w:p w:rsidR="0022731F" w:rsidRPr="0022731F" w:rsidRDefault="0022731F" w:rsidP="0022731F">
            <w:pPr>
              <w:jc w:val="right"/>
              <w:rPr>
                <w:rFonts w:eastAsia="Times New Roman" w:cs="Times New Roman"/>
              </w:rPr>
            </w:pPr>
            <w:r w:rsidRPr="0022731F">
              <w:rPr>
                <w:rFonts w:eastAsia="Times New Roman" w:cs="Times New Roman"/>
              </w:rPr>
              <w:t>0.079</w:t>
            </w:r>
          </w:p>
        </w:tc>
      </w:tr>
    </w:tbl>
    <w:p w:rsidR="0022731F" w:rsidRDefault="0022731F">
      <w:pPr>
        <w:rPr>
          <w:rFonts w:ascii="TimesNewRomanPS" w:hAnsi="TimesNewRomanPS"/>
          <w:sz w:val="22"/>
          <w:szCs w:val="22"/>
        </w:rPr>
      </w:pPr>
    </w:p>
    <w:p w:rsidR="00F91B81" w:rsidRDefault="00F91B81">
      <w:pPr>
        <w:rPr>
          <w:rFonts w:ascii="TimesNewRomanPS" w:hAnsi="TimesNewRomanPS"/>
          <w:sz w:val="22"/>
          <w:szCs w:val="22"/>
        </w:rPr>
      </w:pPr>
      <w:r>
        <w:rPr>
          <w:rFonts w:ascii="TimesNewRomanPS" w:hAnsi="TimesNewRomanPS"/>
          <w:sz w:val="22"/>
          <w:szCs w:val="22"/>
        </w:rPr>
        <w:t xml:space="preserve">The key parts of the Admission document are as follows </w:t>
      </w:r>
      <w:r w:rsidRPr="0045447F">
        <w:rPr>
          <w:rFonts w:ascii="TimesNewRomanPS" w:hAnsi="TimesNewRomanPS"/>
          <w:sz w:val="22"/>
          <w:szCs w:val="22"/>
          <w:highlight w:val="yellow"/>
        </w:rPr>
        <w:t xml:space="preserve">but my copy and paste from pdf to </w:t>
      </w:r>
      <w:r w:rsidRPr="0045447F">
        <w:rPr>
          <w:rFonts w:ascii="TimesNewRomanPS" w:hAnsi="TimesNewRomanPS" w:hint="eastAsia"/>
          <w:sz w:val="22"/>
          <w:szCs w:val="22"/>
          <w:highlight w:val="yellow"/>
        </w:rPr>
        <w:t>word</w:t>
      </w:r>
      <w:r w:rsidRPr="0045447F">
        <w:rPr>
          <w:rFonts w:ascii="TimesNewRomanPS" w:hAnsi="TimesNewRomanPS"/>
          <w:sz w:val="22"/>
          <w:szCs w:val="22"/>
          <w:highlight w:val="yellow"/>
        </w:rPr>
        <w:t xml:space="preserve"> did not work properly</w:t>
      </w:r>
      <w:r>
        <w:rPr>
          <w:rFonts w:ascii="TimesNewRomanPS" w:hAnsi="TimesNewRomanPS"/>
          <w:sz w:val="22"/>
          <w:szCs w:val="22"/>
        </w:rPr>
        <w:t xml:space="preserve"> so if you are very interested you may wish to go to the source doc on </w:t>
      </w:r>
      <w:r>
        <w:rPr>
          <w:rFonts w:ascii="TimesNewRomanPS" w:hAnsi="TimesNewRomanPS" w:hint="eastAsia"/>
          <w:sz w:val="22"/>
          <w:szCs w:val="22"/>
        </w:rPr>
        <w:t>the web</w:t>
      </w:r>
      <w:r>
        <w:rPr>
          <w:rFonts w:ascii="TimesNewRomanPS" w:hAnsi="TimesNewRomanPS"/>
          <w:sz w:val="22"/>
          <w:szCs w:val="22"/>
        </w:rPr>
        <w:t xml:space="preserve"> </w:t>
      </w:r>
      <w:hyperlink r:id="rId5" w:history="1">
        <w:r w:rsidRPr="003C05D3">
          <w:rPr>
            <w:rStyle w:val="Hyperlink"/>
            <w:rFonts w:ascii="TimesNewRomanPS" w:hAnsi="TimesNewRomanPS"/>
            <w:sz w:val="22"/>
            <w:szCs w:val="22"/>
          </w:rPr>
          <w:t>https://www.n4pharma.com/sites/default/files/documents/n4-pharma-admission-document.pdf</w:t>
        </w:r>
      </w:hyperlink>
    </w:p>
    <w:p w:rsidR="00F91B81" w:rsidRDefault="00F91B81"/>
    <w:p w:rsidR="00F96C43" w:rsidRDefault="00F96C43" w:rsidP="00F96C43">
      <w:pPr>
        <w:pStyle w:val="NormalWeb"/>
      </w:pPr>
      <w:r>
        <w:rPr>
          <w:rFonts w:ascii="TimesNewRomanPS" w:hAnsi="TimesNewRomanPS"/>
          <w:b/>
          <w:bCs/>
          <w:sz w:val="22"/>
          <w:szCs w:val="22"/>
        </w:rPr>
        <w:lastRenderedPageBreak/>
        <w:t xml:space="preserve">4. Share Option Schemes and Grant of Options </w:t>
      </w:r>
    </w:p>
    <w:p w:rsidR="00F96C43" w:rsidRDefault="00F96C43" w:rsidP="00206520">
      <w:pPr>
        <w:pStyle w:val="NormalWeb"/>
        <w:ind w:left="360"/>
      </w:pPr>
      <w:r>
        <w:rPr>
          <w:rFonts w:ascii="TimesNewRomanPS" w:hAnsi="TimesNewRomanPS"/>
          <w:sz w:val="22"/>
          <w:szCs w:val="22"/>
        </w:rPr>
        <w:t xml:space="preserve">4.1.  As part of its strategy for executive and key employee remuneration, the Company has established subject to Admission, the New Share Option Scheme under which Share Options may be granted to officers and employees or members of the Enlarged Group. The Remuneration Committee shall be responsible for administering the rules of the New Share Option Scheme and may recommend that options are granted under the New Share Option Scheme from time to time. </w:t>
      </w:r>
    </w:p>
    <w:p w:rsidR="00F96C43" w:rsidRDefault="00F96C43" w:rsidP="00206520">
      <w:pPr>
        <w:pStyle w:val="NormalWeb"/>
        <w:ind w:left="360"/>
      </w:pPr>
      <w:r>
        <w:rPr>
          <w:rFonts w:ascii="TimesNewRomanPS" w:hAnsi="TimesNewRomanPS"/>
          <w:sz w:val="22"/>
          <w:szCs w:val="22"/>
        </w:rPr>
        <w:t xml:space="preserve">4.2.  Under the rules of the Share Option Scheme, the Company may grant unapproved options. A share option takes the form of an individual agreement between the Company and the employee and is entered into subject to the rules of the Share Option Scheme. The Share Option Scheme includes the ability for other persons who are authorised for the </w:t>
      </w:r>
      <w:proofErr w:type="spellStart"/>
      <w:r>
        <w:rPr>
          <w:rFonts w:ascii="TimesNewRomanPS" w:hAnsi="TimesNewRomanPS"/>
          <w:sz w:val="22"/>
          <w:szCs w:val="22"/>
        </w:rPr>
        <w:t>puroses</w:t>
      </w:r>
      <w:proofErr w:type="spellEnd"/>
      <w:r>
        <w:rPr>
          <w:rFonts w:ascii="TimesNewRomanPS" w:hAnsi="TimesNewRomanPS"/>
          <w:sz w:val="22"/>
          <w:szCs w:val="22"/>
        </w:rPr>
        <w:t xml:space="preserve"> of the Share Option Scheme to grant options to employees to purchase Ordinary Shares subject to the rules of the Share Option Scheme. </w:t>
      </w:r>
    </w:p>
    <w:p w:rsidR="00F96C43" w:rsidRDefault="00F96C43" w:rsidP="00206520">
      <w:pPr>
        <w:pStyle w:val="NormalWeb"/>
        <w:ind w:left="360"/>
      </w:pPr>
      <w:r>
        <w:rPr>
          <w:rFonts w:ascii="TimesNewRomanPS" w:hAnsi="TimesNewRomanPS"/>
          <w:sz w:val="22"/>
          <w:szCs w:val="22"/>
        </w:rPr>
        <w:t xml:space="preserve">4.3.  There is no limit on the number of shares, or the percentage of issued share capital, that can be used by the Company to grant share options. </w:t>
      </w:r>
    </w:p>
    <w:p w:rsidR="00F96C43" w:rsidRDefault="00F96C43" w:rsidP="00206520">
      <w:pPr>
        <w:pStyle w:val="NormalWeb"/>
        <w:ind w:left="360"/>
      </w:pPr>
      <w:r>
        <w:rPr>
          <w:rFonts w:ascii="TimesNewRomanPS" w:hAnsi="TimesNewRomanPS"/>
          <w:sz w:val="22"/>
          <w:szCs w:val="22"/>
        </w:rPr>
        <w:t xml:space="preserve">4.4.  Share options may be granted at any time during the period of 42 days from Admission or within 42 days after the date of announcement of the Company’s annual or half yearly results. The Board may also resolve to grant share options at other times in exceptional circumstances which justify them doing so. Options may not be granted when prohibited by law or in breach of the AIM Rules for Companies. Share options may not be granted after the tenth anniversary of the date of the adoption of the Share Option Scheme. </w:t>
      </w:r>
    </w:p>
    <w:p w:rsidR="00F96C43" w:rsidRDefault="00F96C43" w:rsidP="00206520">
      <w:pPr>
        <w:pStyle w:val="NormalWeb"/>
        <w:ind w:left="360"/>
      </w:pPr>
      <w:r>
        <w:rPr>
          <w:rFonts w:ascii="TimesNewRomanPS" w:hAnsi="TimesNewRomanPS"/>
          <w:sz w:val="22"/>
          <w:szCs w:val="22"/>
        </w:rPr>
        <w:t xml:space="preserve">4.5.  The exercises of share options are capable of being made subject to the satisfaction of appropriate and objective performance conditions. </w:t>
      </w:r>
    </w:p>
    <w:p w:rsidR="00F96C43" w:rsidRDefault="00F96C43" w:rsidP="00206520">
      <w:pPr>
        <w:pStyle w:val="NormalWeb"/>
        <w:ind w:left="360"/>
      </w:pPr>
      <w:r>
        <w:rPr>
          <w:rFonts w:ascii="TimesNewRomanPS" w:hAnsi="TimesNewRomanPS"/>
          <w:sz w:val="22"/>
          <w:szCs w:val="22"/>
        </w:rPr>
        <w:t xml:space="preserve">4.6.  It is intended that share options will not be granted with an exercise price per Ordinary Share which is at a discount to the prevailing market value of an Ordinary Share at the time of grant. </w:t>
      </w:r>
    </w:p>
    <w:p w:rsidR="00F96C43" w:rsidRDefault="00F96C43" w:rsidP="00206520">
      <w:pPr>
        <w:pStyle w:val="NormalWeb"/>
        <w:ind w:left="360"/>
      </w:pPr>
      <w:r>
        <w:rPr>
          <w:rFonts w:ascii="TimesNewRomanPS" w:hAnsi="TimesNewRomanPS"/>
          <w:sz w:val="22"/>
          <w:szCs w:val="22"/>
        </w:rPr>
        <w:t xml:space="preserve">4.7.  Each individual share option agreement will specify the date after which the share option may be exercised subject to an earlier exercise event or lapse. Save in the case of the cessation of employment of the option-holder with any member of the Enlarged Group due to death or change of control of the Company. </w:t>
      </w:r>
    </w:p>
    <w:p w:rsidR="00F96C43" w:rsidRDefault="00F96C43" w:rsidP="00206520">
      <w:pPr>
        <w:pStyle w:val="NormalWeb"/>
        <w:ind w:left="360"/>
      </w:pPr>
      <w:r>
        <w:rPr>
          <w:rFonts w:ascii="TimesNewRomanPS" w:hAnsi="TimesNewRomanPS"/>
          <w:sz w:val="22"/>
          <w:szCs w:val="22"/>
        </w:rPr>
        <w:t xml:space="preserve">4.8.  A share option will lapse on cessation of the option-holder’s employment with the Enlarged Group other than where such cessation is due to the death in service of the option-holder, the disposal of the business unit or group company which employs the option-holder or, where the Board resolves in its discretion to permit exercise, in other exceptional circumstances. In the case of death of the option-holder, exercise must take place within one year of death, failing which the share option will lapse. Share options will also lapse to the extent that any performance of other exercise condition becomes incapable of fulfilment. </w:t>
      </w:r>
    </w:p>
    <w:p w:rsidR="00F96C43" w:rsidRDefault="00F96C43" w:rsidP="00206520">
      <w:pPr>
        <w:pStyle w:val="NormalWeb"/>
        <w:ind w:left="360"/>
      </w:pPr>
      <w:r>
        <w:rPr>
          <w:rFonts w:ascii="TimesNewRomanPS" w:hAnsi="TimesNewRomanPS"/>
          <w:sz w:val="22"/>
          <w:szCs w:val="22"/>
        </w:rPr>
        <w:t xml:space="preserve">4.9.  Exercise of a share option is conditional upon the option-holder paying to their employer an amount equal to the amount of any income taxes and, to the extent permissible, national insurance and social security contributions for which the employer is obliged to account on the exercise of the share option. </w:t>
      </w:r>
    </w:p>
    <w:p w:rsidR="00F96C43" w:rsidRDefault="00F96C43" w:rsidP="00206520">
      <w:pPr>
        <w:pStyle w:val="NormalWeb"/>
        <w:ind w:left="360"/>
      </w:pPr>
      <w:r>
        <w:rPr>
          <w:rFonts w:ascii="TimesNewRomanPS" w:hAnsi="TimesNewRomanPS"/>
          <w:sz w:val="22"/>
          <w:szCs w:val="22"/>
        </w:rPr>
        <w:t xml:space="preserve">4.10.  ThefollowingshareoptionshavebeengrantedundertheShareOptionSchemesubjecttoAdmission: </w:t>
      </w:r>
    </w:p>
    <w:p w:rsidR="00F96C43" w:rsidRDefault="00F96C43" w:rsidP="00F96C43">
      <w:pPr>
        <w:pStyle w:val="NormalWeb"/>
      </w:pPr>
      <w:r>
        <w:rPr>
          <w:rFonts w:ascii="TimesNewRomanPS" w:hAnsi="TimesNewRomanPS"/>
          <w:i/>
          <w:iCs/>
          <w:sz w:val="20"/>
          <w:szCs w:val="20"/>
        </w:rPr>
        <w:t xml:space="preserve">Name </w:t>
      </w:r>
    </w:p>
    <w:p w:rsidR="00F96C43" w:rsidRDefault="00F96C43" w:rsidP="00F96C43">
      <w:pPr>
        <w:pStyle w:val="NormalWeb"/>
      </w:pPr>
      <w:r>
        <w:rPr>
          <w:rFonts w:ascii="TimesNewRomanPS" w:hAnsi="TimesNewRomanPS"/>
          <w:sz w:val="22"/>
          <w:szCs w:val="22"/>
        </w:rPr>
        <w:lastRenderedPageBreak/>
        <w:t xml:space="preserve">Luke Cairns David Templeton Paul </w:t>
      </w:r>
      <w:proofErr w:type="spellStart"/>
      <w:r>
        <w:rPr>
          <w:rFonts w:ascii="TimesNewRomanPS" w:hAnsi="TimesNewRomanPS"/>
          <w:sz w:val="22"/>
          <w:szCs w:val="22"/>
        </w:rPr>
        <w:t>Titley</w:t>
      </w:r>
      <w:proofErr w:type="spellEnd"/>
      <w:r>
        <w:rPr>
          <w:rFonts w:ascii="TimesNewRomanPS" w:hAnsi="TimesNewRomanPS"/>
          <w:sz w:val="22"/>
          <w:szCs w:val="22"/>
        </w:rPr>
        <w:t xml:space="preserve"> </w:t>
      </w:r>
    </w:p>
    <w:p w:rsidR="00F96C43" w:rsidRDefault="00F96C43" w:rsidP="00F96C43">
      <w:pPr>
        <w:pStyle w:val="NormalWeb"/>
      </w:pPr>
      <w:r>
        <w:rPr>
          <w:rFonts w:ascii="TimesNewRomanPS" w:hAnsi="TimesNewRomanPS"/>
          <w:i/>
          <w:iCs/>
          <w:sz w:val="20"/>
          <w:szCs w:val="20"/>
        </w:rPr>
        <w:t xml:space="preserve">Number of options over New Ordinary Shares </w:t>
      </w:r>
      <w:r>
        <w:rPr>
          <w:rFonts w:ascii="TimesNewRomanPS" w:hAnsi="TimesNewRomanPS"/>
          <w:sz w:val="22"/>
          <w:szCs w:val="22"/>
        </w:rPr>
        <w:t xml:space="preserve">717,143 717,143 1,434,286 </w:t>
      </w:r>
    </w:p>
    <w:p w:rsidR="00F96C43" w:rsidRDefault="00F96C43" w:rsidP="00F96C43">
      <w:pPr>
        <w:pStyle w:val="NormalWeb"/>
      </w:pPr>
      <w:r>
        <w:rPr>
          <w:rFonts w:ascii="TimesNewRomanPS" w:hAnsi="TimesNewRomanPS"/>
          <w:i/>
          <w:iCs/>
          <w:sz w:val="20"/>
          <w:szCs w:val="20"/>
        </w:rPr>
        <w:t xml:space="preserve">Percentage of Enlarged Share Capital </w:t>
      </w:r>
      <w:r>
        <w:rPr>
          <w:rFonts w:ascii="TimesNewRomanPS" w:hAnsi="TimesNewRomanPS"/>
          <w:sz w:val="22"/>
          <w:szCs w:val="22"/>
        </w:rPr>
        <w:t xml:space="preserve">1.00% 1.00% 2.00% </w:t>
      </w:r>
    </w:p>
    <w:p w:rsidR="00F96C43" w:rsidRDefault="00F96C43" w:rsidP="00F96C43">
      <w:pPr>
        <w:pStyle w:val="NormalWeb"/>
      </w:pPr>
      <w:r>
        <w:rPr>
          <w:rFonts w:ascii="TimesNewRomanPS" w:hAnsi="TimesNewRomanPS"/>
          <w:i/>
          <w:iCs/>
          <w:sz w:val="20"/>
          <w:szCs w:val="20"/>
        </w:rPr>
        <w:t xml:space="preserve">Exercise Price </w:t>
      </w:r>
    </w:p>
    <w:p w:rsidR="00F96C43" w:rsidRDefault="00F96C43" w:rsidP="00F96C43">
      <w:pPr>
        <w:pStyle w:val="NormalWeb"/>
      </w:pPr>
      <w:r>
        <w:rPr>
          <w:rFonts w:ascii="TimesNewRomanPS" w:hAnsi="TimesNewRomanPS"/>
          <w:i/>
          <w:iCs/>
          <w:sz w:val="20"/>
          <w:szCs w:val="20"/>
        </w:rPr>
        <w:t xml:space="preserve">(pence) </w:t>
      </w:r>
    </w:p>
    <w:p w:rsidR="00F96C43" w:rsidRDefault="00F96C43" w:rsidP="00F96C43">
      <w:pPr>
        <w:pStyle w:val="NormalWeb"/>
      </w:pPr>
      <w:r>
        <w:rPr>
          <w:rFonts w:ascii="TimesNewRomanPS" w:hAnsi="TimesNewRomanPS"/>
          <w:sz w:val="22"/>
          <w:szCs w:val="22"/>
        </w:rPr>
        <w:t xml:space="preserve">Issue Price Issue Price Issue Price </w:t>
      </w:r>
    </w:p>
    <w:p w:rsidR="00F96C43" w:rsidRDefault="00F96C43" w:rsidP="00F96C43">
      <w:pPr>
        <w:pStyle w:val="NormalWeb"/>
      </w:pPr>
      <w:r>
        <w:rPr>
          <w:rFonts w:ascii="TimesNewRomanPS" w:hAnsi="TimesNewRomanPS"/>
          <w:sz w:val="22"/>
          <w:szCs w:val="22"/>
        </w:rPr>
        <w:t xml:space="preserve">These Share Options are exercisable following the third anniversary of Admission. In the case of Paul </w:t>
      </w:r>
      <w:proofErr w:type="spellStart"/>
      <w:r>
        <w:rPr>
          <w:rFonts w:ascii="TimesNewRomanPS" w:hAnsi="TimesNewRomanPS"/>
          <w:sz w:val="22"/>
          <w:szCs w:val="22"/>
        </w:rPr>
        <w:t>Titley</w:t>
      </w:r>
      <w:proofErr w:type="spellEnd"/>
      <w:r>
        <w:rPr>
          <w:rFonts w:ascii="TimesNewRomanPS" w:hAnsi="TimesNewRomanPS"/>
          <w:sz w:val="22"/>
          <w:szCs w:val="22"/>
        </w:rPr>
        <w:t xml:space="preserve">, the exercise of the options over 717,143 Ordinary Shares (which equates to 1 per cent. of the Enlarged Share Capital) is subject to certain performance conditions. </w:t>
      </w:r>
    </w:p>
    <w:p w:rsidR="00DA0C49" w:rsidRDefault="00DA0C49" w:rsidP="00DA0C49">
      <w:pPr>
        <w:pStyle w:val="NormalWeb"/>
      </w:pPr>
      <w:r>
        <w:rPr>
          <w:rFonts w:ascii="TimesNewRomanPS" w:hAnsi="TimesNewRomanPS"/>
          <w:sz w:val="22"/>
          <w:szCs w:val="22"/>
        </w:rPr>
        <w:t xml:space="preserve">In addition, on 14 October 2015 the Company granted Gavin </w:t>
      </w:r>
      <w:proofErr w:type="spellStart"/>
      <w:r>
        <w:rPr>
          <w:rFonts w:ascii="TimesNewRomanPS" w:hAnsi="TimesNewRomanPS"/>
          <w:sz w:val="22"/>
          <w:szCs w:val="22"/>
        </w:rPr>
        <w:t>Burnell</w:t>
      </w:r>
      <w:proofErr w:type="spellEnd"/>
      <w:r>
        <w:rPr>
          <w:rFonts w:ascii="TimesNewRomanPS" w:hAnsi="TimesNewRomanPS"/>
          <w:sz w:val="22"/>
          <w:szCs w:val="22"/>
        </w:rPr>
        <w:t xml:space="preserve"> options over a total of 10,804,840 Existing Ordinary Shares equating to 3.8 per cent. of the Enlarged Share Capital and granted Luke Cairns options over a total of 2,701,210 Ordinary Shares equating to 0.9 per cent. of the Enlarged Share Capital. Such options have been granted subject to individual share option agreements with the Company entered into on 13 April 2017, not under the Share Option Scheme and are exercisable at a price of 0.7 pence per share (pre-Share Reorganisation) at any time before 14 October 2025. </w:t>
      </w:r>
    </w:p>
    <w:p w:rsidR="00DA0C49" w:rsidRDefault="00DA0C49" w:rsidP="00DA0C49">
      <w:pPr>
        <w:pStyle w:val="NormalWeb"/>
      </w:pPr>
      <w:r>
        <w:rPr>
          <w:rFonts w:ascii="TimesNewRomanPS" w:hAnsi="TimesNewRomanPS"/>
          <w:sz w:val="22"/>
          <w:szCs w:val="22"/>
        </w:rPr>
        <w:t xml:space="preserve">4.12 Pursuant to a fundraising carried out by the Company in June 2016, the Company issued warrants to investors to subscribe for 15,000,000 Ordinary Shares in the Company. The warrants may be exercised at any time up to 7 June 2017 at a price of 2p per Ordinary Share. </w:t>
      </w:r>
    </w:p>
    <w:p w:rsidR="005E1173" w:rsidRDefault="005E1173" w:rsidP="005E1173">
      <w:pPr>
        <w:pStyle w:val="NormalWeb"/>
      </w:pPr>
      <w:r>
        <w:rPr>
          <w:rFonts w:ascii="TimesNewRomanPS" w:hAnsi="TimesNewRomanPS"/>
          <w:sz w:val="22"/>
          <w:szCs w:val="22"/>
        </w:rPr>
        <w:t xml:space="preserve">5.2.9. </w:t>
      </w:r>
      <w:r>
        <w:rPr>
          <w:rFonts w:ascii="TimesNewRomanPS" w:hAnsi="TimesNewRomanPS"/>
          <w:i/>
          <w:iCs/>
          <w:sz w:val="22"/>
          <w:szCs w:val="22"/>
        </w:rPr>
        <w:t>Directors</w:t>
      </w:r>
      <w:r>
        <w:rPr>
          <w:rFonts w:ascii="TimesNewRomanPS" w:hAnsi="TimesNewRomanPS"/>
          <w:i/>
          <w:iCs/>
          <w:sz w:val="22"/>
          <w:szCs w:val="22"/>
        </w:rPr>
        <w:br/>
      </w:r>
      <w:r>
        <w:rPr>
          <w:rFonts w:ascii="TimesNewRomanPS" w:hAnsi="TimesNewRomanPS"/>
          <w:sz w:val="22"/>
          <w:szCs w:val="22"/>
        </w:rPr>
        <w:t xml:space="preserve">Unless and until otherwise determined by the Company by ordinary resolution the number of </w:t>
      </w:r>
    </w:p>
    <w:p w:rsidR="005E1173" w:rsidRDefault="005E1173" w:rsidP="005E1173">
      <w:pPr>
        <w:pStyle w:val="NormalWeb"/>
      </w:pPr>
      <w:r>
        <w:rPr>
          <w:rFonts w:ascii="TimesNewRomanPS" w:hAnsi="TimesNewRomanPS"/>
          <w:sz w:val="22"/>
          <w:szCs w:val="22"/>
        </w:rPr>
        <w:t xml:space="preserve">Directors (other than any alternate Directors) shall be not less than three or more than twelve. </w:t>
      </w:r>
    </w:p>
    <w:p w:rsidR="005E1173" w:rsidRDefault="005E1173" w:rsidP="005E1173">
      <w:pPr>
        <w:pStyle w:val="NormalWeb"/>
      </w:pPr>
      <w:r>
        <w:rPr>
          <w:rFonts w:ascii="TimesNewRomanPS" w:hAnsi="TimesNewRomanPS"/>
          <w:sz w:val="22"/>
          <w:szCs w:val="22"/>
        </w:rPr>
        <w:t xml:space="preserve">5.2.9.1. 5.2.9.2. </w:t>
      </w:r>
    </w:p>
    <w:p w:rsidR="005E1173" w:rsidRDefault="005E1173" w:rsidP="005E1173">
      <w:pPr>
        <w:pStyle w:val="NormalWeb"/>
      </w:pPr>
      <w:r>
        <w:rPr>
          <w:rFonts w:ascii="TimesNewRomanPS" w:hAnsi="TimesNewRomanPS"/>
          <w:sz w:val="22"/>
          <w:szCs w:val="22"/>
        </w:rPr>
        <w:t xml:space="preserve">5.2.9.3. </w:t>
      </w:r>
    </w:p>
    <w:p w:rsidR="005E1173" w:rsidRDefault="005E1173" w:rsidP="005E1173">
      <w:pPr>
        <w:pStyle w:val="NormalWeb"/>
      </w:pPr>
      <w:r>
        <w:rPr>
          <w:rFonts w:ascii="TimesNewRomanPS" w:hAnsi="TimesNewRomanPS"/>
          <w:sz w:val="22"/>
          <w:szCs w:val="22"/>
        </w:rPr>
        <w:t xml:space="preserve">5.2.9.4. </w:t>
      </w:r>
    </w:p>
    <w:p w:rsidR="005E1173" w:rsidRDefault="005E1173" w:rsidP="005E1173">
      <w:pPr>
        <w:pStyle w:val="NormalWeb"/>
      </w:pPr>
      <w:r>
        <w:rPr>
          <w:rFonts w:ascii="TimesNewRomanPS" w:hAnsi="TimesNewRomanPS"/>
          <w:sz w:val="22"/>
          <w:szCs w:val="22"/>
        </w:rPr>
        <w:t xml:space="preserve">5.2.9.5. </w:t>
      </w:r>
    </w:p>
    <w:p w:rsidR="005E1173" w:rsidRDefault="005E1173" w:rsidP="005E1173">
      <w:pPr>
        <w:pStyle w:val="NormalWeb"/>
      </w:pPr>
      <w:r>
        <w:rPr>
          <w:rFonts w:ascii="TimesNewRomanPS" w:hAnsi="TimesNewRomanPS"/>
          <w:sz w:val="22"/>
          <w:szCs w:val="22"/>
        </w:rPr>
        <w:t xml:space="preserve">5.2.9.6. </w:t>
      </w:r>
    </w:p>
    <w:p w:rsidR="005E1173" w:rsidRDefault="005E1173" w:rsidP="005E1173">
      <w:pPr>
        <w:pStyle w:val="NormalWeb"/>
      </w:pPr>
      <w:r>
        <w:rPr>
          <w:rFonts w:ascii="TimesNewRomanPS" w:hAnsi="TimesNewRomanPS"/>
          <w:sz w:val="22"/>
          <w:szCs w:val="22"/>
        </w:rPr>
        <w:t xml:space="preserve">Share </w:t>
      </w:r>
      <w:proofErr w:type="spellStart"/>
      <w:r>
        <w:rPr>
          <w:rFonts w:ascii="TimesNewRomanPS" w:hAnsi="TimesNewRomanPS"/>
          <w:sz w:val="22"/>
          <w:szCs w:val="22"/>
        </w:rPr>
        <w:t>qualif</w:t>
      </w:r>
      <w:proofErr w:type="spellEnd"/>
      <w:r>
        <w:rPr>
          <w:rFonts w:ascii="TimesNewRomanPS" w:hAnsi="TimesNewRomanPS"/>
          <w:sz w:val="22"/>
          <w:szCs w:val="22"/>
        </w:rPr>
        <w:t xml:space="preserve"> </w:t>
      </w:r>
      <w:proofErr w:type="spellStart"/>
      <w:r>
        <w:rPr>
          <w:rFonts w:ascii="TimesNewRomanPS" w:hAnsi="TimesNewRomanPS"/>
          <w:sz w:val="22"/>
          <w:szCs w:val="22"/>
        </w:rPr>
        <w:t>ication</w:t>
      </w:r>
      <w:proofErr w:type="spellEnd"/>
      <w:r>
        <w:rPr>
          <w:rFonts w:ascii="TimesNewRomanPS" w:hAnsi="TimesNewRomanPS"/>
          <w:sz w:val="22"/>
          <w:szCs w:val="22"/>
        </w:rPr>
        <w:br/>
        <w:t xml:space="preserve">A Director shall not be required to hold any shares of the Company. </w:t>
      </w:r>
    </w:p>
    <w:p w:rsidR="005E1173" w:rsidRDefault="005E1173" w:rsidP="005E1173">
      <w:pPr>
        <w:pStyle w:val="NormalWeb"/>
      </w:pPr>
      <w:r>
        <w:rPr>
          <w:rFonts w:ascii="TimesNewRomanPS" w:hAnsi="TimesNewRomanPS"/>
          <w:sz w:val="22"/>
          <w:szCs w:val="22"/>
        </w:rPr>
        <w:t xml:space="preserve">Fees of non-executive Directors </w:t>
      </w:r>
    </w:p>
    <w:p w:rsidR="005E1173" w:rsidRDefault="005E1173" w:rsidP="005E1173">
      <w:pPr>
        <w:pStyle w:val="NormalWeb"/>
      </w:pPr>
      <w:r>
        <w:rPr>
          <w:rFonts w:ascii="TimesNewRomanPS" w:hAnsi="TimesNewRomanPS"/>
          <w:sz w:val="22"/>
          <w:szCs w:val="22"/>
        </w:rPr>
        <w:t xml:space="preserve">Fees may be paid out of funds of the Company to directors who are not managing or executive directors at such rates as the Directors may from time to time determine provided that such fees do not in the aggregate exceed the sum of £99,000perannum(exclusiveofVATifapplicable)orsuchfigureastheCompany may be ordinary resolution from time to time determine. </w:t>
      </w:r>
    </w:p>
    <w:p w:rsidR="005E1173" w:rsidRDefault="005E1173" w:rsidP="005E1173">
      <w:pPr>
        <w:pStyle w:val="NormalWeb"/>
      </w:pPr>
      <w:r>
        <w:rPr>
          <w:rFonts w:ascii="TimesNewRomanPS" w:hAnsi="TimesNewRomanPS"/>
          <w:sz w:val="22"/>
          <w:szCs w:val="22"/>
        </w:rPr>
        <w:lastRenderedPageBreak/>
        <w:t xml:space="preserve">Additional remuneration </w:t>
      </w:r>
    </w:p>
    <w:p w:rsidR="005E1173" w:rsidRDefault="005E1173" w:rsidP="005E1173">
      <w:pPr>
        <w:pStyle w:val="NormalWeb"/>
      </w:pPr>
      <w:r>
        <w:rPr>
          <w:rFonts w:ascii="TimesNewRomanPS" w:hAnsi="TimesNewRomanPS"/>
          <w:sz w:val="22"/>
          <w:szCs w:val="22"/>
        </w:rPr>
        <w:t xml:space="preserve">If, by arrangement with the Board, any Director shall perform or render any special duties or services outside his ordinary duties as a Director and not in his capacity as a holder of employment or executive office, he may be paid such reasonable additional remuneration (whether by way of a lump sum or by way of salary, commission, participation in profits or otherwise) as the Board may from time to time determine. </w:t>
      </w:r>
    </w:p>
    <w:p w:rsidR="005E1173" w:rsidRDefault="005E1173" w:rsidP="005E1173">
      <w:pPr>
        <w:pStyle w:val="NormalWeb"/>
      </w:pPr>
      <w:r>
        <w:rPr>
          <w:rFonts w:ascii="TimesNewRomanPS" w:hAnsi="TimesNewRomanPS"/>
          <w:sz w:val="22"/>
          <w:szCs w:val="22"/>
        </w:rPr>
        <w:t xml:space="preserve">Directors’ expenses </w:t>
      </w:r>
    </w:p>
    <w:p w:rsidR="005E1173" w:rsidRDefault="005E1173" w:rsidP="005E1173">
      <w:pPr>
        <w:pStyle w:val="NormalWeb"/>
      </w:pPr>
      <w:r>
        <w:rPr>
          <w:rFonts w:ascii="TimesNewRomanPS" w:hAnsi="TimesNewRomanPS"/>
          <w:sz w:val="22"/>
          <w:szCs w:val="22"/>
        </w:rPr>
        <w:t xml:space="preserve">Each Director shall be entitled to be repaid all reasonable travelling, hotel and other expenses properly incurred by him in or about the performance of his duties as Director, including any expenses incurred in attending meetings of the Board or any committee of the Board or general meetings. </w:t>
      </w:r>
    </w:p>
    <w:p w:rsidR="005E1173" w:rsidRDefault="005E1173" w:rsidP="005E1173">
      <w:pPr>
        <w:pStyle w:val="NormalWeb"/>
      </w:pPr>
      <w:r>
        <w:rPr>
          <w:rFonts w:ascii="TimesNewRomanPS" w:hAnsi="TimesNewRomanPS"/>
          <w:sz w:val="22"/>
          <w:szCs w:val="22"/>
        </w:rPr>
        <w:t xml:space="preserve">Remuneration of executive Directors </w:t>
      </w:r>
    </w:p>
    <w:p w:rsidR="005E1173" w:rsidRDefault="005E1173" w:rsidP="005E1173">
      <w:pPr>
        <w:pStyle w:val="NormalWeb"/>
      </w:pPr>
      <w:r>
        <w:rPr>
          <w:rFonts w:ascii="TimesNewRomanPS" w:hAnsi="TimesNewRomanPS"/>
          <w:sz w:val="22"/>
          <w:szCs w:val="22"/>
        </w:rPr>
        <w:t xml:space="preserve">The remuneration and other terms and conditions of appointment of a director appointed to any executive office shall from time to time (without prejudice to the provisions of any agreement between him and the Company) be fixed by the Directors or by any committee appointed by the Directors. The remuneration may (without limitation) be by way of fixed salary, lump sum, commission on the dividends or profits of the Company (or of any company in which the Company is interested) or other participation in any such profits or by any combination of them. </w:t>
      </w:r>
    </w:p>
    <w:p w:rsidR="005E1173" w:rsidRDefault="005E1173" w:rsidP="005E1173">
      <w:pPr>
        <w:pStyle w:val="NormalWeb"/>
      </w:pPr>
      <w:r>
        <w:rPr>
          <w:rFonts w:ascii="TimesNewRomanPS" w:hAnsi="TimesNewRomanPS"/>
          <w:sz w:val="22"/>
          <w:szCs w:val="22"/>
        </w:rPr>
        <w:t xml:space="preserve">Directors’ pensions and other </w:t>
      </w:r>
      <w:proofErr w:type="spellStart"/>
      <w:r>
        <w:rPr>
          <w:rFonts w:ascii="TimesNewRomanPS" w:hAnsi="TimesNewRomanPS"/>
          <w:sz w:val="22"/>
          <w:szCs w:val="22"/>
        </w:rPr>
        <w:t>benef</w:t>
      </w:r>
      <w:proofErr w:type="spellEnd"/>
      <w:r>
        <w:rPr>
          <w:rFonts w:ascii="TimesNewRomanPS" w:hAnsi="TimesNewRomanPS"/>
          <w:sz w:val="22"/>
          <w:szCs w:val="22"/>
        </w:rPr>
        <w:t xml:space="preserve"> its </w:t>
      </w:r>
    </w:p>
    <w:p w:rsidR="005E1173" w:rsidRDefault="005E1173" w:rsidP="005E1173">
      <w:pPr>
        <w:pStyle w:val="NormalWeb"/>
      </w:pPr>
      <w:r>
        <w:rPr>
          <w:rFonts w:ascii="TimesNewRomanPS" w:hAnsi="TimesNewRomanPS"/>
          <w:sz w:val="22"/>
          <w:szCs w:val="22"/>
        </w:rPr>
        <w:t xml:space="preserve">The Board may exercise all the powers of the Company to provide pensions or other retirement or superannuation benefits and to provide death or disability benefits or other allowances or gratuities (whether by insurance or otherwise) for or to institute and maintain any institution, association, society, club, trust, other establishment or profit sharing, share incentive, share purchase or employees’ share scheme calculated to advance the interests of the Company or to benefit any person who is or has at any time been a Director of the Company or any company which is a subsidiary company of or allied to or associated with the Company or any such subsidiary or any predecessor in business of the Company or of any such subsidiary and for any member of his family (including a spouse or former spouse or civil partner or former civil partner) and any person who is or was dependent on him. For such purpose the Board may establish, maintain, subscribe and contribute to any scheme, institution, association, club, trust or fund and pay premiums and, subject to the provisions of the Companies Acts, lend money or make payments to, guarantee or give an indemnity in respect of, or give any financial or other assistance in connection with, any of the aforesaid matters or bodies. The Board may procure any of such matters to be done by the Company either alone or in conjunction with any other person. Any Director or former Director shall be entitled to receive and retain for his own benefit any pension or other benefit provided under this Article and shall not be obliged to account for it to the Company. </w:t>
      </w:r>
    </w:p>
    <w:p w:rsidR="005E1173" w:rsidRDefault="005E1173" w:rsidP="005E1173">
      <w:pPr>
        <w:pStyle w:val="NormalWeb"/>
      </w:pPr>
      <w:r>
        <w:rPr>
          <w:rFonts w:ascii="TimesNewRomanPS" w:hAnsi="TimesNewRomanPS"/>
          <w:sz w:val="20"/>
          <w:szCs w:val="20"/>
          <w:shd w:val="clear" w:color="auto" w:fill="FFFFFF"/>
        </w:rPr>
        <w:t xml:space="preserve">116 </w:t>
      </w:r>
    </w:p>
    <w:p w:rsidR="00F91B81" w:rsidRDefault="00F91B81" w:rsidP="00F91B81">
      <w:pPr>
        <w:pStyle w:val="NormalWeb"/>
      </w:pPr>
      <w:r>
        <w:rPr>
          <w:rFonts w:ascii="TimesNewRomanPS" w:hAnsi="TimesNewRomanPS"/>
          <w:b/>
          <w:bCs/>
          <w:sz w:val="22"/>
          <w:szCs w:val="22"/>
        </w:rPr>
        <w:t xml:space="preserve">Directors’ and Other Interests </w:t>
      </w:r>
    </w:p>
    <w:p w:rsidR="00F91B81" w:rsidRDefault="00F91B81" w:rsidP="00F91B81">
      <w:pPr>
        <w:pStyle w:val="NormalWeb"/>
      </w:pPr>
      <w:r>
        <w:rPr>
          <w:rFonts w:ascii="TimesNewRomanPS" w:hAnsi="TimesNewRomanPS"/>
          <w:sz w:val="22"/>
          <w:szCs w:val="22"/>
        </w:rPr>
        <w:t xml:space="preserve">7.1. The interests of the Directors and the Proposed Directors and their immediate families (all of which are beneficial unless otherwise stated) and of connected persons, within the meaning of Section 252 of the 2006 Act in the issued share capital of the Company, which are required to be disclosed by the AIM Rules for Companies, are as follows: </w:t>
      </w:r>
    </w:p>
    <w:p w:rsidR="00F91B81" w:rsidRDefault="00F91B81" w:rsidP="00F91B81">
      <w:pPr>
        <w:pStyle w:val="NormalWeb"/>
      </w:pPr>
      <w:r>
        <w:rPr>
          <w:rFonts w:ascii="TimesNewRomanPS" w:hAnsi="TimesNewRomanPS"/>
          <w:i/>
          <w:iCs/>
          <w:sz w:val="20"/>
          <w:szCs w:val="20"/>
        </w:rPr>
        <w:t xml:space="preserve">Name </w:t>
      </w:r>
    </w:p>
    <w:p w:rsidR="00F91B81" w:rsidRDefault="00F91B81" w:rsidP="00F91B81">
      <w:pPr>
        <w:pStyle w:val="NormalWeb"/>
      </w:pPr>
      <w:r>
        <w:rPr>
          <w:rFonts w:ascii="TimesNewRomanPS" w:hAnsi="TimesNewRomanPS"/>
          <w:sz w:val="22"/>
          <w:szCs w:val="22"/>
        </w:rPr>
        <w:lastRenderedPageBreak/>
        <w:t xml:space="preserve">Nigel </w:t>
      </w:r>
      <w:proofErr w:type="spellStart"/>
      <w:r>
        <w:rPr>
          <w:rFonts w:ascii="TimesNewRomanPS" w:hAnsi="TimesNewRomanPS"/>
          <w:sz w:val="22"/>
          <w:szCs w:val="22"/>
        </w:rPr>
        <w:t>Theobald</w:t>
      </w:r>
      <w:proofErr w:type="spellEnd"/>
      <w:r>
        <w:rPr>
          <w:rFonts w:ascii="TimesNewRomanPS" w:hAnsi="TimesNewRomanPS"/>
          <w:sz w:val="22"/>
          <w:szCs w:val="22"/>
        </w:rPr>
        <w:t xml:space="preserve">* </w:t>
      </w:r>
      <w:proofErr w:type="spellStart"/>
      <w:r>
        <w:rPr>
          <w:rFonts w:ascii="TimesNewRomanPS" w:hAnsi="TimesNewRomanPS"/>
          <w:sz w:val="22"/>
          <w:szCs w:val="22"/>
        </w:rPr>
        <w:t>Humayun</w:t>
      </w:r>
      <w:proofErr w:type="spellEnd"/>
      <w:r>
        <w:rPr>
          <w:rFonts w:ascii="TimesNewRomanPS" w:hAnsi="TimesNewRomanPS"/>
          <w:sz w:val="22"/>
          <w:szCs w:val="22"/>
        </w:rPr>
        <w:t xml:space="preserve"> </w:t>
      </w:r>
      <w:proofErr w:type="spellStart"/>
      <w:r>
        <w:rPr>
          <w:rFonts w:ascii="TimesNewRomanPS" w:hAnsi="TimesNewRomanPS"/>
          <w:sz w:val="22"/>
          <w:szCs w:val="22"/>
        </w:rPr>
        <w:t>Mughal</w:t>
      </w:r>
      <w:proofErr w:type="spellEnd"/>
      <w:r>
        <w:rPr>
          <w:rFonts w:ascii="TimesNewRomanPS" w:hAnsi="TimesNewRomanPS"/>
          <w:sz w:val="22"/>
          <w:szCs w:val="22"/>
        </w:rPr>
        <w:t xml:space="preserve">** Gavin </w:t>
      </w:r>
      <w:proofErr w:type="spellStart"/>
      <w:r>
        <w:rPr>
          <w:rFonts w:ascii="TimesNewRomanPS" w:hAnsi="TimesNewRomanPS"/>
          <w:sz w:val="22"/>
          <w:szCs w:val="22"/>
        </w:rPr>
        <w:t>Burnell</w:t>
      </w:r>
      <w:proofErr w:type="spellEnd"/>
      <w:r>
        <w:rPr>
          <w:rFonts w:ascii="TimesNewRomanPS" w:hAnsi="TimesNewRomanPS"/>
          <w:sz w:val="22"/>
          <w:szCs w:val="22"/>
        </w:rPr>
        <w:br/>
        <w:t xml:space="preserve">Paul </w:t>
      </w:r>
      <w:proofErr w:type="spellStart"/>
      <w:r>
        <w:rPr>
          <w:rFonts w:ascii="TimesNewRomanPS" w:hAnsi="TimesNewRomanPS"/>
          <w:sz w:val="22"/>
          <w:szCs w:val="22"/>
        </w:rPr>
        <w:t>Titley</w:t>
      </w:r>
      <w:proofErr w:type="spellEnd"/>
      <w:r>
        <w:rPr>
          <w:rFonts w:ascii="TimesNewRomanPS" w:hAnsi="TimesNewRomanPS"/>
          <w:sz w:val="22"/>
          <w:szCs w:val="22"/>
        </w:rPr>
        <w:t xml:space="preserve"> </w:t>
      </w:r>
    </w:p>
    <w:p w:rsidR="00F91B81" w:rsidRDefault="00F91B81" w:rsidP="00F91B81">
      <w:pPr>
        <w:pStyle w:val="NormalWeb"/>
      </w:pPr>
      <w:r>
        <w:rPr>
          <w:rFonts w:ascii="TimesNewRomanPS" w:hAnsi="TimesNewRomanPS"/>
          <w:sz w:val="22"/>
          <w:szCs w:val="22"/>
        </w:rPr>
        <w:t xml:space="preserve">David Templeton Luke Cairns </w:t>
      </w:r>
    </w:p>
    <w:p w:rsidR="00F91B81" w:rsidRDefault="00F91B81" w:rsidP="00F91B81">
      <w:pPr>
        <w:pStyle w:val="NormalWeb"/>
      </w:pPr>
      <w:r>
        <w:rPr>
          <w:rFonts w:ascii="TimesNewRomanPS" w:hAnsi="TimesNewRomanPS"/>
          <w:i/>
          <w:iCs/>
          <w:sz w:val="20"/>
          <w:szCs w:val="20"/>
        </w:rPr>
        <w:t xml:space="preserve">Number of Existing Ordinary Shares </w:t>
      </w:r>
    </w:p>
    <w:p w:rsidR="00F91B81" w:rsidRDefault="00F91B81" w:rsidP="00F91B81">
      <w:pPr>
        <w:pStyle w:val="NormalWeb"/>
      </w:pPr>
      <w:r>
        <w:rPr>
          <w:rFonts w:ascii="TimesNewRomanPS" w:hAnsi="TimesNewRomanPS"/>
          <w:sz w:val="22"/>
          <w:szCs w:val="22"/>
        </w:rPr>
        <w:t xml:space="preserve">29,893,963 11,232,515 3,571,428 — — — </w:t>
      </w:r>
    </w:p>
    <w:p w:rsidR="00F91B81" w:rsidRDefault="00F91B81" w:rsidP="00F91B81">
      <w:pPr>
        <w:pStyle w:val="NormalWeb"/>
      </w:pPr>
      <w:r>
        <w:rPr>
          <w:rFonts w:ascii="TimesNewRomanPS" w:hAnsi="TimesNewRomanPS"/>
          <w:i/>
          <w:iCs/>
          <w:sz w:val="20"/>
          <w:szCs w:val="20"/>
        </w:rPr>
        <w:t xml:space="preserve">% of Existing Ordinary Share Capital </w:t>
      </w:r>
    </w:p>
    <w:p w:rsidR="00F91B81" w:rsidRDefault="00F91B81" w:rsidP="00F91B81">
      <w:pPr>
        <w:pStyle w:val="NormalWeb"/>
      </w:pPr>
      <w:r>
        <w:rPr>
          <w:rFonts w:ascii="TimesNewRomanPS" w:hAnsi="TimesNewRomanPS"/>
          <w:sz w:val="22"/>
          <w:szCs w:val="22"/>
        </w:rPr>
        <w:t xml:space="preserve">16.1% 6.2% 2.0% </w:t>
      </w:r>
    </w:p>
    <w:p w:rsidR="00F91B81" w:rsidRDefault="00F91B81" w:rsidP="00F91B81">
      <w:pPr>
        <w:pStyle w:val="NormalWeb"/>
      </w:pPr>
      <w:r>
        <w:rPr>
          <w:rFonts w:ascii="TimesNewRomanPS" w:hAnsi="TimesNewRomanPS"/>
          <w:sz w:val="22"/>
          <w:szCs w:val="22"/>
        </w:rPr>
        <w:t xml:space="preserve">— — — </w:t>
      </w:r>
    </w:p>
    <w:p w:rsidR="00F91B81" w:rsidRDefault="00F91B81" w:rsidP="00F91B81">
      <w:pPr>
        <w:pStyle w:val="NormalWeb"/>
      </w:pPr>
      <w:r>
        <w:rPr>
          <w:rFonts w:ascii="TimesNewRomanPS" w:hAnsi="TimesNewRomanPS"/>
          <w:i/>
          <w:iCs/>
          <w:sz w:val="20"/>
          <w:szCs w:val="20"/>
        </w:rPr>
        <w:t xml:space="preserve">New Ordinary Shares </w:t>
      </w:r>
    </w:p>
    <w:p w:rsidR="00F91B81" w:rsidRDefault="00F91B81" w:rsidP="00F91B81">
      <w:pPr>
        <w:pStyle w:val="NormalWeb"/>
      </w:pPr>
      <w:r>
        <w:rPr>
          <w:rFonts w:ascii="TimesNewRomanPS" w:hAnsi="TimesNewRomanPS"/>
          <w:sz w:val="22"/>
          <w:szCs w:val="22"/>
        </w:rPr>
        <w:t xml:space="preserve">12,198,577 2,808,129 1,107,143 </w:t>
      </w:r>
    </w:p>
    <w:p w:rsidR="00F91B81" w:rsidRDefault="00F91B81" w:rsidP="00F91B81">
      <w:pPr>
        <w:pStyle w:val="NormalWeb"/>
      </w:pPr>
      <w:r>
        <w:rPr>
          <w:rFonts w:ascii="TimesNewRomanPS" w:hAnsi="TimesNewRomanPS"/>
          <w:sz w:val="22"/>
          <w:szCs w:val="22"/>
        </w:rPr>
        <w:t xml:space="preserve">142,857 — 142,857 </w:t>
      </w:r>
    </w:p>
    <w:p w:rsidR="00F91B81" w:rsidRDefault="00F91B81" w:rsidP="00F91B81">
      <w:pPr>
        <w:pStyle w:val="NormalWeb"/>
      </w:pPr>
      <w:r>
        <w:rPr>
          <w:rFonts w:ascii="TimesNewRomanPS" w:hAnsi="TimesNewRomanPS"/>
          <w:i/>
          <w:iCs/>
          <w:sz w:val="20"/>
          <w:szCs w:val="20"/>
        </w:rPr>
        <w:t xml:space="preserve">% of Enlarged Share Capital </w:t>
      </w:r>
    </w:p>
    <w:p w:rsidR="00F91B81" w:rsidRDefault="00F91B81" w:rsidP="00F91B81">
      <w:pPr>
        <w:pStyle w:val="NormalWeb"/>
      </w:pPr>
      <w:r>
        <w:rPr>
          <w:rFonts w:ascii="TimesNewRomanPS" w:hAnsi="TimesNewRomanPS"/>
          <w:i/>
          <w:iCs/>
          <w:sz w:val="18"/>
          <w:szCs w:val="18"/>
        </w:rPr>
        <w:t xml:space="preserve">* Included in Nigel Theobald’s holding is 687,225 Existing Ordinary Shares held by his wife ** Included in </w:t>
      </w:r>
      <w:proofErr w:type="spellStart"/>
      <w:r>
        <w:rPr>
          <w:rFonts w:ascii="TimesNewRomanPS" w:hAnsi="TimesNewRomanPS"/>
          <w:i/>
          <w:iCs/>
          <w:sz w:val="18"/>
          <w:szCs w:val="18"/>
        </w:rPr>
        <w:t>Humayun</w:t>
      </w:r>
      <w:proofErr w:type="spellEnd"/>
      <w:r>
        <w:rPr>
          <w:rFonts w:ascii="TimesNewRomanPS" w:hAnsi="TimesNewRomanPS"/>
          <w:i/>
          <w:iCs/>
          <w:sz w:val="18"/>
          <w:szCs w:val="18"/>
        </w:rPr>
        <w:t xml:space="preserve"> </w:t>
      </w:r>
      <w:proofErr w:type="spellStart"/>
      <w:r>
        <w:rPr>
          <w:rFonts w:ascii="TimesNewRomanPS" w:hAnsi="TimesNewRomanPS"/>
          <w:i/>
          <w:iCs/>
          <w:sz w:val="18"/>
          <w:szCs w:val="18"/>
        </w:rPr>
        <w:t>Mughal</w:t>
      </w:r>
      <w:proofErr w:type="spellEnd"/>
      <w:r>
        <w:rPr>
          <w:rFonts w:ascii="TimesNewRomanPS" w:hAnsi="TimesNewRomanPS"/>
          <w:i/>
          <w:iCs/>
          <w:sz w:val="18"/>
          <w:szCs w:val="18"/>
        </w:rPr>
        <w:t xml:space="preserve"> holding is: </w:t>
      </w:r>
    </w:p>
    <w:p w:rsidR="00F91B81" w:rsidRDefault="00F91B81" w:rsidP="00F91B81">
      <w:pPr>
        <w:pStyle w:val="NormalWeb"/>
      </w:pPr>
      <w:r>
        <w:rPr>
          <w:rFonts w:ascii="TimesNewRomanPS" w:hAnsi="TimesNewRomanPS"/>
          <w:i/>
          <w:iCs/>
          <w:sz w:val="18"/>
          <w:szCs w:val="18"/>
        </w:rPr>
        <w:t xml:space="preserve">269,999 Existing Ordinary Shares held by close members of his family. </w:t>
      </w:r>
    </w:p>
    <w:p w:rsidR="00F91B81" w:rsidRDefault="00F91B81" w:rsidP="00F91B81">
      <w:pPr>
        <w:pStyle w:val="NormalWeb"/>
      </w:pPr>
      <w:r>
        <w:rPr>
          <w:rFonts w:ascii="TimesNewRomanPS" w:hAnsi="TimesNewRomanPS"/>
          <w:i/>
          <w:iCs/>
          <w:sz w:val="20"/>
          <w:szCs w:val="20"/>
        </w:rPr>
        <w:t xml:space="preserve">Name </w:t>
      </w:r>
    </w:p>
    <w:p w:rsidR="00F91B81" w:rsidRDefault="00F91B81" w:rsidP="00F91B81">
      <w:pPr>
        <w:pStyle w:val="NormalWeb"/>
      </w:pPr>
      <w:r>
        <w:rPr>
          <w:rFonts w:ascii="TimesNewRomanPS" w:hAnsi="TimesNewRomanPS"/>
          <w:sz w:val="22"/>
          <w:szCs w:val="22"/>
        </w:rPr>
        <w:t xml:space="preserve">Gavin </w:t>
      </w:r>
      <w:proofErr w:type="spellStart"/>
      <w:r>
        <w:rPr>
          <w:rFonts w:ascii="TimesNewRomanPS" w:hAnsi="TimesNewRomanPS"/>
          <w:sz w:val="22"/>
          <w:szCs w:val="22"/>
        </w:rPr>
        <w:t>Burnell</w:t>
      </w:r>
      <w:proofErr w:type="spellEnd"/>
      <w:r>
        <w:rPr>
          <w:rFonts w:ascii="TimesNewRomanPS" w:hAnsi="TimesNewRomanPS"/>
          <w:sz w:val="22"/>
          <w:szCs w:val="22"/>
        </w:rPr>
        <w:t xml:space="preserve">** Luke Cairns** Luke Cairns** Nigel </w:t>
      </w:r>
      <w:proofErr w:type="spellStart"/>
      <w:r>
        <w:rPr>
          <w:rFonts w:ascii="TimesNewRomanPS" w:hAnsi="TimesNewRomanPS"/>
          <w:sz w:val="22"/>
          <w:szCs w:val="22"/>
        </w:rPr>
        <w:t>Theobald</w:t>
      </w:r>
      <w:proofErr w:type="spellEnd"/>
      <w:r>
        <w:rPr>
          <w:rFonts w:ascii="TimesNewRomanPS" w:hAnsi="TimesNewRomanPS"/>
          <w:sz w:val="22"/>
          <w:szCs w:val="22"/>
        </w:rPr>
        <w:t xml:space="preserve">** Paul </w:t>
      </w:r>
      <w:proofErr w:type="spellStart"/>
      <w:r>
        <w:rPr>
          <w:rFonts w:ascii="TimesNewRomanPS" w:hAnsi="TimesNewRomanPS"/>
          <w:sz w:val="22"/>
          <w:szCs w:val="22"/>
        </w:rPr>
        <w:t>Titley</w:t>
      </w:r>
      <w:proofErr w:type="spellEnd"/>
      <w:r>
        <w:rPr>
          <w:rFonts w:ascii="TimesNewRomanPS" w:hAnsi="TimesNewRomanPS"/>
          <w:sz w:val="22"/>
          <w:szCs w:val="22"/>
        </w:rPr>
        <w:t xml:space="preserve">** David Templeton </w:t>
      </w:r>
      <w:proofErr w:type="spellStart"/>
      <w:r>
        <w:rPr>
          <w:rFonts w:ascii="TimesNewRomanPS" w:hAnsi="TimesNewRomanPS"/>
          <w:sz w:val="22"/>
          <w:szCs w:val="22"/>
        </w:rPr>
        <w:t>Humayun</w:t>
      </w:r>
      <w:proofErr w:type="spellEnd"/>
      <w:r>
        <w:rPr>
          <w:rFonts w:ascii="TimesNewRomanPS" w:hAnsi="TimesNewRomanPS"/>
          <w:sz w:val="22"/>
          <w:szCs w:val="22"/>
        </w:rPr>
        <w:t xml:space="preserve"> Mughal </w:t>
      </w:r>
    </w:p>
    <w:p w:rsidR="00F91B81" w:rsidRDefault="00F91B81" w:rsidP="00F91B81">
      <w:pPr>
        <w:pStyle w:val="NormalWeb"/>
      </w:pPr>
      <w:r>
        <w:rPr>
          <w:rFonts w:ascii="TimesNewRomanPS" w:hAnsi="TimesNewRomanPS"/>
          <w:i/>
          <w:iCs/>
          <w:sz w:val="20"/>
          <w:szCs w:val="20"/>
        </w:rPr>
        <w:t xml:space="preserve">Number of options over Existing Ordinary Shares </w:t>
      </w:r>
    </w:p>
    <w:p w:rsidR="00F91B81" w:rsidRDefault="00F91B81" w:rsidP="00F91B81">
      <w:pPr>
        <w:pStyle w:val="NormalWeb"/>
      </w:pPr>
      <w:r>
        <w:rPr>
          <w:rFonts w:ascii="TimesNewRomanPS" w:hAnsi="TimesNewRomanPS"/>
          <w:sz w:val="22"/>
          <w:szCs w:val="22"/>
        </w:rPr>
        <w:t xml:space="preserve">10,804,840 2,701,210 714,286 — 1,428,571 714,286 — </w:t>
      </w:r>
    </w:p>
    <w:p w:rsidR="00F91B81" w:rsidRDefault="00F91B81" w:rsidP="00F91B81">
      <w:pPr>
        <w:pStyle w:val="NormalWeb"/>
      </w:pPr>
      <w:r>
        <w:rPr>
          <w:rFonts w:ascii="TimesNewRomanPS" w:hAnsi="TimesNewRomanPS"/>
          <w:i/>
          <w:iCs/>
          <w:sz w:val="20"/>
          <w:szCs w:val="20"/>
        </w:rPr>
        <w:t xml:space="preserve">Date of grant </w:t>
      </w:r>
    </w:p>
    <w:p w:rsidR="00F91B81" w:rsidRDefault="00F91B81" w:rsidP="00F91B81">
      <w:pPr>
        <w:pStyle w:val="NormalWeb"/>
      </w:pPr>
      <w:r>
        <w:rPr>
          <w:rFonts w:ascii="TimesNewRomanPS" w:hAnsi="TimesNewRomanPS"/>
          <w:sz w:val="22"/>
          <w:szCs w:val="22"/>
        </w:rPr>
        <w:t xml:space="preserve">25 Oct 2015 </w:t>
      </w:r>
    </w:p>
    <w:p w:rsidR="00F91B81" w:rsidRDefault="00F91B81" w:rsidP="00F91B81">
      <w:pPr>
        <w:pStyle w:val="NormalWeb"/>
      </w:pPr>
      <w:r>
        <w:rPr>
          <w:rFonts w:ascii="TimesNewRomanPS" w:hAnsi="TimesNewRomanPS"/>
          <w:sz w:val="22"/>
          <w:szCs w:val="22"/>
        </w:rPr>
        <w:t xml:space="preserve">25 Oct 2015 Date of Admission — Date of Admission Date of Admission — </w:t>
      </w:r>
    </w:p>
    <w:p w:rsidR="00F91B81" w:rsidRDefault="00F91B81" w:rsidP="00F91B81">
      <w:pPr>
        <w:pStyle w:val="NormalWeb"/>
      </w:pPr>
      <w:r>
        <w:rPr>
          <w:rFonts w:ascii="TimesNewRomanPS" w:hAnsi="TimesNewRomanPS"/>
          <w:i/>
          <w:iCs/>
          <w:sz w:val="20"/>
          <w:szCs w:val="20"/>
        </w:rPr>
        <w:t xml:space="preserve">Exercise price (pence) </w:t>
      </w:r>
    </w:p>
    <w:p w:rsidR="00F91B81" w:rsidRDefault="00F91B81" w:rsidP="00F91B81">
      <w:pPr>
        <w:pStyle w:val="NormalWeb"/>
      </w:pPr>
      <w:r>
        <w:rPr>
          <w:rFonts w:ascii="TimesNewRomanPS" w:hAnsi="TimesNewRomanPS"/>
          <w:sz w:val="22"/>
          <w:szCs w:val="22"/>
        </w:rPr>
        <w:t>0.7</w:t>
      </w:r>
      <w:r>
        <w:rPr>
          <w:rFonts w:ascii="TimesNewRomanPS" w:hAnsi="TimesNewRomanPS"/>
          <w:i/>
          <w:iCs/>
          <w:sz w:val="20"/>
          <w:szCs w:val="20"/>
        </w:rPr>
        <w:t xml:space="preserve">* </w:t>
      </w:r>
    </w:p>
    <w:p w:rsidR="00F91B81" w:rsidRDefault="00F91B81" w:rsidP="00F91B81">
      <w:pPr>
        <w:pStyle w:val="NormalWeb"/>
      </w:pPr>
      <w:r>
        <w:rPr>
          <w:rFonts w:ascii="TimesNewRomanPS" w:hAnsi="TimesNewRomanPS"/>
          <w:sz w:val="22"/>
          <w:szCs w:val="22"/>
        </w:rPr>
        <w:t>0.7</w:t>
      </w:r>
      <w:r>
        <w:rPr>
          <w:rFonts w:ascii="TimesNewRomanPS" w:hAnsi="TimesNewRomanPS"/>
          <w:i/>
          <w:iCs/>
          <w:sz w:val="20"/>
          <w:szCs w:val="20"/>
        </w:rPr>
        <w:t xml:space="preserve">* </w:t>
      </w:r>
      <w:r>
        <w:rPr>
          <w:rFonts w:ascii="TimesNewRomanPS" w:hAnsi="TimesNewRomanPS"/>
          <w:sz w:val="22"/>
          <w:szCs w:val="22"/>
        </w:rPr>
        <w:t xml:space="preserve">Issue Price — Issue Price Issue Price — </w:t>
      </w:r>
    </w:p>
    <w:p w:rsidR="00F91B81" w:rsidRDefault="00F91B81" w:rsidP="00F91B81">
      <w:pPr>
        <w:pStyle w:val="NormalWeb"/>
      </w:pPr>
      <w:r>
        <w:rPr>
          <w:rFonts w:ascii="TimesNewRomanPS" w:hAnsi="TimesNewRomanPS"/>
          <w:i/>
          <w:iCs/>
          <w:sz w:val="20"/>
          <w:szCs w:val="20"/>
        </w:rPr>
        <w:t xml:space="preserve">Expiry Date </w:t>
      </w:r>
    </w:p>
    <w:p w:rsidR="00F91B81" w:rsidRDefault="00F91B81" w:rsidP="00F91B81">
      <w:pPr>
        <w:pStyle w:val="NormalWeb"/>
      </w:pPr>
      <w:r>
        <w:rPr>
          <w:rFonts w:ascii="TimesNewRomanPS" w:hAnsi="TimesNewRomanPS"/>
          <w:sz w:val="22"/>
          <w:szCs w:val="22"/>
        </w:rPr>
        <w:t xml:space="preserve">25 Oct 2025 25 Oct 2025 </w:t>
      </w:r>
    </w:p>
    <w:p w:rsidR="00F91B81" w:rsidRDefault="00F91B81" w:rsidP="00F91B81">
      <w:pPr>
        <w:pStyle w:val="NormalWeb"/>
      </w:pPr>
      <w:r>
        <w:rPr>
          <w:rFonts w:ascii="TimesNewRomanPS" w:hAnsi="TimesNewRomanPS"/>
          <w:sz w:val="22"/>
          <w:szCs w:val="22"/>
        </w:rPr>
        <w:lastRenderedPageBreak/>
        <w:t xml:space="preserve">— 13 Apr 2027 13 Apr 2027 — </w:t>
      </w:r>
    </w:p>
    <w:p w:rsidR="00F91B81" w:rsidRDefault="00F91B81" w:rsidP="00F91B81">
      <w:pPr>
        <w:pStyle w:val="NormalWeb"/>
      </w:pPr>
      <w:r>
        <w:rPr>
          <w:rFonts w:ascii="TimesNewRomanPS" w:hAnsi="TimesNewRomanPS"/>
          <w:i/>
          <w:iCs/>
          <w:sz w:val="18"/>
          <w:szCs w:val="18"/>
        </w:rPr>
        <w:t>* Exercise price is pre-Share Reorganisation</w:t>
      </w:r>
      <w:r>
        <w:rPr>
          <w:rFonts w:ascii="TimesNewRomanPS" w:hAnsi="TimesNewRomanPS"/>
          <w:i/>
          <w:iCs/>
          <w:sz w:val="18"/>
          <w:szCs w:val="18"/>
        </w:rPr>
        <w:br/>
        <w:t xml:space="preserve">** will also receive Warrants over New Ordinary Shares as a result of participation in the Capital Raising </w:t>
      </w:r>
    </w:p>
    <w:p w:rsidR="00F91B81" w:rsidRDefault="00F91B81" w:rsidP="00F91B81">
      <w:pPr>
        <w:pStyle w:val="NormalWeb"/>
      </w:pPr>
      <w:r>
        <w:rPr>
          <w:rFonts w:ascii="TimesNewRomanPS" w:hAnsi="TimesNewRomanPS"/>
          <w:i/>
          <w:iCs/>
          <w:sz w:val="20"/>
          <w:szCs w:val="20"/>
        </w:rPr>
        <w:t xml:space="preserve">Current Holding </w:t>
      </w:r>
    </w:p>
    <w:p w:rsidR="00F91B81" w:rsidRDefault="00F91B81" w:rsidP="00F91B81">
      <w:pPr>
        <w:pStyle w:val="NormalWeb"/>
      </w:pPr>
      <w:r>
        <w:rPr>
          <w:rFonts w:ascii="TimesNewRomanPS" w:hAnsi="TimesNewRomanPS"/>
          <w:i/>
          <w:iCs/>
          <w:sz w:val="20"/>
          <w:szCs w:val="20"/>
        </w:rPr>
        <w:t xml:space="preserve">Following Admission Number of </w:t>
      </w:r>
    </w:p>
    <w:p w:rsidR="00F91B81" w:rsidRDefault="00F91B81" w:rsidP="00F91B81">
      <w:pPr>
        <w:pStyle w:val="NormalWeb"/>
      </w:pPr>
      <w:r>
        <w:rPr>
          <w:rFonts w:ascii="TimesNewRomanPS" w:hAnsi="TimesNewRomanPS"/>
          <w:i/>
          <w:iCs/>
          <w:sz w:val="18"/>
          <w:szCs w:val="18"/>
        </w:rPr>
        <w:t xml:space="preserve">5,516,248 Existing Ordinary Shares held by Akhter Group, a company in which </w:t>
      </w:r>
      <w:proofErr w:type="spellStart"/>
      <w:r>
        <w:rPr>
          <w:rFonts w:ascii="TimesNewRomanPS" w:hAnsi="TimesNewRomanPS"/>
          <w:i/>
          <w:iCs/>
          <w:sz w:val="18"/>
          <w:szCs w:val="18"/>
        </w:rPr>
        <w:t>Humayun</w:t>
      </w:r>
      <w:proofErr w:type="spellEnd"/>
      <w:r>
        <w:rPr>
          <w:rFonts w:ascii="TimesNewRomanPS" w:hAnsi="TimesNewRomanPS"/>
          <w:i/>
          <w:iCs/>
          <w:sz w:val="18"/>
          <w:szCs w:val="18"/>
        </w:rPr>
        <w:t xml:space="preserve"> </w:t>
      </w:r>
      <w:proofErr w:type="spellStart"/>
      <w:r>
        <w:rPr>
          <w:rFonts w:ascii="TimesNewRomanPS" w:hAnsi="TimesNewRomanPS"/>
          <w:i/>
          <w:iCs/>
          <w:sz w:val="18"/>
          <w:szCs w:val="18"/>
        </w:rPr>
        <w:t>Mughal</w:t>
      </w:r>
      <w:proofErr w:type="spellEnd"/>
      <w:r>
        <w:rPr>
          <w:rFonts w:ascii="TimesNewRomanPS" w:hAnsi="TimesNewRomanPS"/>
          <w:i/>
          <w:iCs/>
          <w:sz w:val="18"/>
          <w:szCs w:val="18"/>
        </w:rPr>
        <w:t xml:space="preserve"> and his family control approximately 60 per cent. and of which he is a director. </w:t>
      </w:r>
    </w:p>
    <w:p w:rsidR="00F91B81" w:rsidRDefault="00F91B81" w:rsidP="00F91B81">
      <w:pPr>
        <w:pStyle w:val="NormalWeb"/>
      </w:pPr>
      <w:r>
        <w:rPr>
          <w:rFonts w:ascii="TimesNewRomanPS" w:hAnsi="TimesNewRomanPS"/>
          <w:i/>
          <w:iCs/>
          <w:sz w:val="18"/>
          <w:szCs w:val="18"/>
        </w:rPr>
        <w:t xml:space="preserve">1,980,000 Existing Ordinary Shares held by the Mercator Trust of which </w:t>
      </w:r>
      <w:proofErr w:type="spellStart"/>
      <w:r>
        <w:rPr>
          <w:rFonts w:ascii="TimesNewRomanPS" w:hAnsi="TimesNewRomanPS"/>
          <w:i/>
          <w:iCs/>
          <w:sz w:val="18"/>
          <w:szCs w:val="18"/>
        </w:rPr>
        <w:t>Humayun</w:t>
      </w:r>
      <w:proofErr w:type="spellEnd"/>
      <w:r>
        <w:rPr>
          <w:rFonts w:ascii="TimesNewRomanPS" w:hAnsi="TimesNewRomanPS"/>
          <w:i/>
          <w:iCs/>
          <w:sz w:val="18"/>
          <w:szCs w:val="18"/>
        </w:rPr>
        <w:t xml:space="preserve"> </w:t>
      </w:r>
      <w:proofErr w:type="spellStart"/>
      <w:r>
        <w:rPr>
          <w:rFonts w:ascii="TimesNewRomanPS" w:hAnsi="TimesNewRomanPS"/>
          <w:i/>
          <w:iCs/>
          <w:sz w:val="18"/>
          <w:szCs w:val="18"/>
        </w:rPr>
        <w:t>Mughal</w:t>
      </w:r>
      <w:proofErr w:type="spellEnd"/>
      <w:r>
        <w:rPr>
          <w:rFonts w:ascii="TimesNewRomanPS" w:hAnsi="TimesNewRomanPS"/>
          <w:i/>
          <w:iCs/>
          <w:sz w:val="18"/>
          <w:szCs w:val="18"/>
        </w:rPr>
        <w:t xml:space="preserve"> is the settlor and principal beneficiary; and </w:t>
      </w:r>
    </w:p>
    <w:p w:rsidR="00F91B81" w:rsidRDefault="00F91B81" w:rsidP="00F91B81">
      <w:pPr>
        <w:pStyle w:val="NormalWeb"/>
      </w:pPr>
      <w:r>
        <w:rPr>
          <w:rFonts w:ascii="TimesNewRomanPS" w:hAnsi="TimesNewRomanPS"/>
          <w:i/>
          <w:iCs/>
          <w:sz w:val="18"/>
          <w:szCs w:val="18"/>
        </w:rPr>
        <w:t xml:space="preserve">1,773,648 Existing Ordinary Shares held by Akhter Education Foundation, a charitable trust in which </w:t>
      </w:r>
      <w:proofErr w:type="spellStart"/>
      <w:r>
        <w:rPr>
          <w:rFonts w:ascii="TimesNewRomanPS" w:hAnsi="TimesNewRomanPS"/>
          <w:i/>
          <w:iCs/>
          <w:sz w:val="18"/>
          <w:szCs w:val="18"/>
        </w:rPr>
        <w:t>Humayun</w:t>
      </w:r>
      <w:proofErr w:type="spellEnd"/>
      <w:r>
        <w:rPr>
          <w:rFonts w:ascii="TimesNewRomanPS" w:hAnsi="TimesNewRomanPS"/>
          <w:i/>
          <w:iCs/>
          <w:sz w:val="18"/>
          <w:szCs w:val="18"/>
        </w:rPr>
        <w:t xml:space="preserve"> </w:t>
      </w:r>
      <w:proofErr w:type="spellStart"/>
      <w:r>
        <w:rPr>
          <w:rFonts w:ascii="TimesNewRomanPS" w:hAnsi="TimesNewRomanPS"/>
          <w:i/>
          <w:iCs/>
          <w:sz w:val="18"/>
          <w:szCs w:val="18"/>
        </w:rPr>
        <w:t>Mughal</w:t>
      </w:r>
      <w:proofErr w:type="spellEnd"/>
      <w:r>
        <w:rPr>
          <w:rFonts w:ascii="TimesNewRomanPS" w:hAnsi="TimesNewRomanPS"/>
          <w:i/>
          <w:iCs/>
          <w:sz w:val="18"/>
          <w:szCs w:val="18"/>
        </w:rPr>
        <w:t xml:space="preserve"> has no beneficial interest. </w:t>
      </w:r>
    </w:p>
    <w:p w:rsidR="00F91B81" w:rsidRDefault="00F91B81" w:rsidP="00F91B81">
      <w:pPr>
        <w:pStyle w:val="NormalWeb"/>
      </w:pPr>
      <w:r>
        <w:rPr>
          <w:rFonts w:ascii="TimesNewRomanPS" w:hAnsi="TimesNewRomanPS"/>
          <w:sz w:val="22"/>
          <w:szCs w:val="22"/>
        </w:rPr>
        <w:t xml:space="preserve">7.2. On Admission, the following Directors and Proposed Directors and their respective connected persons will hold the following share options over Ordinary Shares: </w:t>
      </w:r>
    </w:p>
    <w:p w:rsidR="00F91B81" w:rsidRDefault="00F91B81" w:rsidP="00F91B81">
      <w:pPr>
        <w:pStyle w:val="NormalWeb"/>
        <w:numPr>
          <w:ilvl w:val="0"/>
          <w:numId w:val="2"/>
        </w:numPr>
      </w:pPr>
      <w:r>
        <w:rPr>
          <w:rFonts w:ascii="TimesNewRomanPS" w:hAnsi="TimesNewRomanPS"/>
          <w:sz w:val="22"/>
          <w:szCs w:val="22"/>
        </w:rPr>
        <w:t xml:space="preserve">7.3.  Save as disclosed above, on Admission, the Company will have no outstanding options, warrants or convertible securities pursuant to which the Company may be called to allot or issue any shares or other securities. </w:t>
      </w:r>
    </w:p>
    <w:p w:rsidR="00F91B81" w:rsidRDefault="00F91B81" w:rsidP="00F91B81">
      <w:pPr>
        <w:pStyle w:val="NormalWeb"/>
        <w:numPr>
          <w:ilvl w:val="0"/>
          <w:numId w:val="2"/>
        </w:numPr>
      </w:pPr>
      <w:r>
        <w:rPr>
          <w:rFonts w:ascii="TimesNewRomanPS" w:hAnsi="TimesNewRomanPS"/>
          <w:sz w:val="22"/>
          <w:szCs w:val="22"/>
        </w:rPr>
        <w:t xml:space="preserve">7.4.  The persons, including the Directors and the Proposed Directors, referred to in paragraphs 7.1 and 7.2 above, do not have voting rights in respect of the share capital of the Company (issued or to be issued) which differ from any other Shareholder of the Company. </w:t>
      </w:r>
    </w:p>
    <w:p w:rsidR="00F91B81" w:rsidRDefault="00F91B81" w:rsidP="00F91B81">
      <w:pPr>
        <w:pStyle w:val="NormalWeb"/>
        <w:numPr>
          <w:ilvl w:val="0"/>
          <w:numId w:val="2"/>
        </w:numPr>
      </w:pPr>
      <w:r>
        <w:rPr>
          <w:rFonts w:ascii="TimesNewRomanPS" w:hAnsi="TimesNewRomanPS"/>
          <w:sz w:val="22"/>
          <w:szCs w:val="22"/>
        </w:rPr>
        <w:t xml:space="preserve">7.5.  No Director or Proposed Director or members of their immediate families or any of their connected persons within the meaning of section 252 of the 2006 Act has a related financial product (within the meaning of the AIM Rules for Companies) relating to Ordinary Shares. </w:t>
      </w:r>
    </w:p>
    <w:p w:rsidR="00F91B81" w:rsidRDefault="00F91B81" w:rsidP="00F91B81">
      <w:pPr>
        <w:pStyle w:val="NormalWeb"/>
      </w:pPr>
      <w:r>
        <w:rPr>
          <w:rFonts w:ascii="TimesNewRomanPS" w:hAnsi="TimesNewRomanPS"/>
          <w:sz w:val="22"/>
          <w:szCs w:val="22"/>
        </w:rPr>
        <w:t xml:space="preserve">17.0 3.9 1.5 0.2 — 0.2 </w:t>
      </w:r>
    </w:p>
    <w:p w:rsidR="00F91B81" w:rsidRDefault="00F91B81" w:rsidP="00F91B81">
      <w:pPr>
        <w:pStyle w:val="NormalWeb"/>
      </w:pPr>
      <w:r>
        <w:rPr>
          <w:rFonts w:ascii="TimesNewRomanPS" w:hAnsi="TimesNewRomanPS"/>
          <w:sz w:val="20"/>
          <w:szCs w:val="20"/>
          <w:shd w:val="clear" w:color="auto" w:fill="FFFFFF"/>
        </w:rPr>
        <w:t xml:space="preserve">121 </w:t>
      </w:r>
    </w:p>
    <w:p w:rsidR="00F91B81" w:rsidRDefault="00F91B81" w:rsidP="00F91B81">
      <w:pPr>
        <w:pStyle w:val="NormalWeb"/>
      </w:pPr>
      <w:r>
        <w:rPr>
          <w:rFonts w:ascii="TimesNewRomanPS" w:hAnsi="TimesNewRomanPS"/>
          <w:b/>
          <w:bCs/>
          <w:sz w:val="22"/>
          <w:szCs w:val="22"/>
        </w:rPr>
        <w:t xml:space="preserve">8. Directors’ and Proposed Directors’ Service Agreements/Letters of Appointment </w:t>
      </w:r>
    </w:p>
    <w:p w:rsidR="00F91B81" w:rsidRDefault="00F91B81" w:rsidP="00F91B81">
      <w:pPr>
        <w:pStyle w:val="NormalWeb"/>
      </w:pPr>
      <w:r>
        <w:rPr>
          <w:rFonts w:ascii="TimesNewRomanPS" w:hAnsi="TimesNewRomanPS"/>
          <w:sz w:val="22"/>
          <w:szCs w:val="22"/>
        </w:rPr>
        <w:t xml:space="preserve">8.1 The following agreements have been entered into between the Company and each of the Directors and the Proposed Directors: </w:t>
      </w:r>
    </w:p>
    <w:p w:rsidR="00F91B81" w:rsidRDefault="00F91B81" w:rsidP="00F91B81">
      <w:pPr>
        <w:pStyle w:val="NormalWeb"/>
        <w:numPr>
          <w:ilvl w:val="0"/>
          <w:numId w:val="3"/>
        </w:numPr>
      </w:pPr>
      <w:proofErr w:type="gramStart"/>
      <w:r>
        <w:rPr>
          <w:rFonts w:ascii="TimesNewRomanPS" w:hAnsi="TimesNewRomanPS"/>
          <w:sz w:val="22"/>
          <w:szCs w:val="22"/>
        </w:rPr>
        <w:t>8.1.1  pursuanttoaletterofappointmentdated13April2017DavidTempletonwasappointedas</w:t>
      </w:r>
      <w:proofErr w:type="gramEnd"/>
      <w:r>
        <w:rPr>
          <w:rFonts w:ascii="TimesNewRomanPS" w:hAnsi="TimesNewRomanPS"/>
          <w:sz w:val="22"/>
          <w:szCs w:val="22"/>
        </w:rPr>
        <w:t xml:space="preserve"> Non-Executive Chairman of the Company, conditional upon Admission. Mr Templeton will be entitled to a fee of £24,000 per annum. </w:t>
      </w:r>
    </w:p>
    <w:p w:rsidR="00F91B81" w:rsidRDefault="00F91B81" w:rsidP="00F91B81">
      <w:pPr>
        <w:pStyle w:val="NormalWeb"/>
        <w:numPr>
          <w:ilvl w:val="0"/>
          <w:numId w:val="3"/>
        </w:numPr>
      </w:pPr>
      <w:proofErr w:type="gramStart"/>
      <w:r>
        <w:rPr>
          <w:rFonts w:ascii="TimesNewRomanPS" w:hAnsi="TimesNewRomanPS"/>
          <w:sz w:val="22"/>
          <w:szCs w:val="22"/>
        </w:rPr>
        <w:t>8.1.2  pursuant</w:t>
      </w:r>
      <w:proofErr w:type="gramEnd"/>
      <w:r>
        <w:rPr>
          <w:rFonts w:ascii="TimesNewRomanPS" w:hAnsi="TimesNewRomanPS"/>
          <w:sz w:val="22"/>
          <w:szCs w:val="22"/>
        </w:rPr>
        <w:t xml:space="preserve"> to a letter of appointment dated 13 April 2017 Luke Cairns was appointed as a Non-Executive Director of the Company. Mr Cairns will be entitled to a fee of £24,000 per annum. </w:t>
      </w:r>
    </w:p>
    <w:p w:rsidR="00F91B81" w:rsidRDefault="00F91B81" w:rsidP="00F91B81">
      <w:pPr>
        <w:pStyle w:val="NormalWeb"/>
        <w:ind w:left="720"/>
      </w:pPr>
      <w:r>
        <w:rPr>
          <w:rFonts w:ascii="TimesNewRomanPS" w:hAnsi="TimesNewRomanPS"/>
          <w:sz w:val="22"/>
          <w:szCs w:val="22"/>
        </w:rPr>
        <w:t>Each of the Non-Executive Directors is entitled to be reimbursed in full for all reasonable out of pocket expenses which he properly incurs in the course of performing his duties. Each proposed Non-Executive Director is to consult the Board in the event of any conflict of interest. Each of the appointments of the proposed Non-Executive Directors is to continue until being terminated by the Company giving not less than three months’ written notice or by the respective proposed Non-Executive Directors giving not less than one month’s notice or immediately in certain circumstances including by resolution of the Shareholders. If a Non-</w:t>
      </w:r>
      <w:r>
        <w:rPr>
          <w:rFonts w:ascii="TimesNewRomanPS" w:hAnsi="TimesNewRomanPS"/>
          <w:sz w:val="22"/>
          <w:szCs w:val="22"/>
        </w:rPr>
        <w:lastRenderedPageBreak/>
        <w:t xml:space="preserve">Executive Director is removed from office by a resolution of the Shareholders, not re- elected to office or the office is vacated in accordance with the terms of the letters of appointment, such Non-Executive Directors will not be entitled to compensation. </w:t>
      </w:r>
    </w:p>
    <w:p w:rsidR="00F91B81" w:rsidRDefault="00F91B81" w:rsidP="00F91B81">
      <w:pPr>
        <w:pStyle w:val="NormalWeb"/>
        <w:numPr>
          <w:ilvl w:val="0"/>
          <w:numId w:val="4"/>
        </w:numPr>
      </w:pPr>
      <w:r>
        <w:rPr>
          <w:rFonts w:ascii="TimesNewRomanPS" w:hAnsi="TimesNewRomanPS"/>
          <w:sz w:val="22"/>
          <w:szCs w:val="22"/>
        </w:rPr>
        <w:t xml:space="preserve">8.2.  The following agreements have been entered into between the Company and the Proposed Directors: </w:t>
      </w:r>
    </w:p>
    <w:p w:rsidR="00F91B81" w:rsidRDefault="00F91B81" w:rsidP="00F91B81">
      <w:pPr>
        <w:pStyle w:val="NormalWeb"/>
        <w:numPr>
          <w:ilvl w:val="1"/>
          <w:numId w:val="4"/>
        </w:numPr>
      </w:pPr>
      <w:r>
        <w:rPr>
          <w:rFonts w:ascii="TimesNewRomanPS" w:hAnsi="TimesNewRomanPS"/>
          <w:sz w:val="22"/>
          <w:szCs w:val="22"/>
        </w:rPr>
        <w:t xml:space="preserve">8.2.1.  pursuant to a service agreement dated 13 April 2017 between Nigel Theobald and the Company, Nigel Theobald will be appointed Chief Executive of the Enlarged Group with effect from Admission. Subject to and conditional upon Admission his remuneration is </w:t>
      </w:r>
      <w:r w:rsidRPr="00F91B81">
        <w:rPr>
          <w:rFonts w:ascii="TimesNewRomanPS" w:hAnsi="TimesNewRomanPS"/>
          <w:sz w:val="22"/>
          <w:szCs w:val="22"/>
          <w:highlight w:val="yellow"/>
        </w:rPr>
        <w:t>£70,000 per annum</w:t>
      </w:r>
      <w:r>
        <w:rPr>
          <w:rFonts w:ascii="TimesNewRomanPS" w:hAnsi="TimesNewRomanPS"/>
          <w:sz w:val="22"/>
          <w:szCs w:val="22"/>
        </w:rPr>
        <w:t xml:space="preserve">. The term of the service agreement will be for a period of 12 months commencing on Admission and may be terminated at any time thereafter by either party by 6 months’ prior written notice; and </w:t>
      </w:r>
    </w:p>
    <w:p w:rsidR="00F91B81" w:rsidRDefault="00F91B81" w:rsidP="00F91B81">
      <w:pPr>
        <w:pStyle w:val="NormalWeb"/>
        <w:numPr>
          <w:ilvl w:val="1"/>
          <w:numId w:val="4"/>
        </w:numPr>
      </w:pPr>
      <w:r>
        <w:rPr>
          <w:rFonts w:ascii="TimesNewRomanPS" w:hAnsi="TimesNewRomanPS"/>
          <w:sz w:val="22"/>
          <w:szCs w:val="22"/>
        </w:rPr>
        <w:t xml:space="preserve">8.2.2.  pursuant to a service agreement dated 13 April 2017 between Paul </w:t>
      </w:r>
      <w:proofErr w:type="spellStart"/>
      <w:r>
        <w:rPr>
          <w:rFonts w:ascii="TimesNewRomanPS" w:hAnsi="TimesNewRomanPS"/>
          <w:sz w:val="22"/>
          <w:szCs w:val="22"/>
        </w:rPr>
        <w:t>Titley</w:t>
      </w:r>
      <w:proofErr w:type="spellEnd"/>
      <w:r>
        <w:rPr>
          <w:rFonts w:ascii="TimesNewRomanPS" w:hAnsi="TimesNewRomanPS"/>
          <w:sz w:val="22"/>
          <w:szCs w:val="22"/>
        </w:rPr>
        <w:t xml:space="preserve"> and the Company, Paul </w:t>
      </w:r>
      <w:proofErr w:type="spellStart"/>
      <w:r>
        <w:rPr>
          <w:rFonts w:ascii="TimesNewRomanPS" w:hAnsi="TimesNewRomanPS"/>
          <w:sz w:val="22"/>
          <w:szCs w:val="22"/>
        </w:rPr>
        <w:t>Titley</w:t>
      </w:r>
      <w:proofErr w:type="spellEnd"/>
      <w:r>
        <w:rPr>
          <w:rFonts w:ascii="TimesNewRomanPS" w:hAnsi="TimesNewRomanPS"/>
          <w:sz w:val="22"/>
          <w:szCs w:val="22"/>
        </w:rPr>
        <w:t xml:space="preserve"> will be appointed Executive Director with effect from Admission. Paul </w:t>
      </w:r>
      <w:proofErr w:type="spellStart"/>
      <w:r>
        <w:rPr>
          <w:rFonts w:ascii="TimesNewRomanPS" w:hAnsi="TimesNewRomanPS"/>
          <w:sz w:val="22"/>
          <w:szCs w:val="22"/>
        </w:rPr>
        <w:t>Titley</w:t>
      </w:r>
      <w:proofErr w:type="spellEnd"/>
      <w:r>
        <w:rPr>
          <w:rFonts w:ascii="TimesNewRomanPS" w:hAnsi="TimesNewRomanPS"/>
          <w:sz w:val="22"/>
          <w:szCs w:val="22"/>
        </w:rPr>
        <w:t xml:space="preserve"> will be paid an annual salary of £40,000. The term of the service agreement will be for a period of 6 months commencing on Admission and may be terminated at any time thereafter by either party by 6 months’ prior written notice. </w:t>
      </w:r>
    </w:p>
    <w:p w:rsidR="00F91B81" w:rsidRDefault="00F91B81" w:rsidP="00F91B81">
      <w:pPr>
        <w:pStyle w:val="NormalWeb"/>
        <w:numPr>
          <w:ilvl w:val="0"/>
          <w:numId w:val="4"/>
        </w:numPr>
      </w:pPr>
      <w:r>
        <w:rPr>
          <w:rFonts w:ascii="TimesNewRomanPS" w:hAnsi="TimesNewRomanPS"/>
          <w:sz w:val="22"/>
          <w:szCs w:val="22"/>
        </w:rPr>
        <w:t xml:space="preserve">8.3.  Save as disclosed above, there are no service agreements existing or proposed between any Director or any Proposed Director and the Company or any member of the Enlarged Group. </w:t>
      </w:r>
    </w:p>
    <w:p w:rsidR="00F91B81" w:rsidRDefault="00F91B81" w:rsidP="00F91B81">
      <w:pPr>
        <w:pStyle w:val="NormalWeb"/>
      </w:pPr>
      <w:r>
        <w:rPr>
          <w:rFonts w:ascii="TimesNewRomanPS" w:hAnsi="TimesNewRomanPS"/>
          <w:b/>
          <w:bCs/>
          <w:sz w:val="22"/>
          <w:szCs w:val="22"/>
        </w:rPr>
        <w:t xml:space="preserve">9. Additional Information on the Directors and the Proposed Directors </w:t>
      </w:r>
    </w:p>
    <w:p w:rsidR="00F91B81" w:rsidRDefault="00F91B81" w:rsidP="00F91B81">
      <w:pPr>
        <w:pStyle w:val="NormalWeb"/>
      </w:pPr>
      <w:r>
        <w:rPr>
          <w:rFonts w:ascii="TimesNewRomanPS" w:hAnsi="TimesNewRomanPS"/>
          <w:sz w:val="22"/>
          <w:szCs w:val="22"/>
        </w:rPr>
        <w:t xml:space="preserve">9.1. The Directors and the Proposed Directors hold or have held the following directorships or have been partners in the following partnerships within the five years prior to the date of this document: </w:t>
      </w:r>
    </w:p>
    <w:p w:rsidR="00F91B81" w:rsidRDefault="00F91B81" w:rsidP="00F91B81">
      <w:pPr>
        <w:pStyle w:val="NormalWeb"/>
      </w:pPr>
      <w:r>
        <w:rPr>
          <w:rFonts w:ascii="TimesNewRomanPS" w:hAnsi="TimesNewRomanPS"/>
          <w:i/>
          <w:iCs/>
          <w:sz w:val="20"/>
          <w:szCs w:val="20"/>
        </w:rPr>
        <w:t xml:space="preserve">Name </w:t>
      </w:r>
    </w:p>
    <w:p w:rsidR="00F91B81" w:rsidRDefault="00F91B81" w:rsidP="00F91B81">
      <w:pPr>
        <w:pStyle w:val="NormalWeb"/>
      </w:pPr>
      <w:r>
        <w:rPr>
          <w:rFonts w:ascii="TimesNewRomanPS" w:hAnsi="TimesNewRomanPS"/>
          <w:sz w:val="22"/>
          <w:szCs w:val="22"/>
        </w:rPr>
        <w:t xml:space="preserve">Gavin </w:t>
      </w:r>
      <w:proofErr w:type="spellStart"/>
      <w:r>
        <w:rPr>
          <w:rFonts w:ascii="TimesNewRomanPS" w:hAnsi="TimesNewRomanPS"/>
          <w:sz w:val="22"/>
          <w:szCs w:val="22"/>
        </w:rPr>
        <w:t>Burnell</w:t>
      </w:r>
      <w:proofErr w:type="spellEnd"/>
      <w:r>
        <w:rPr>
          <w:rFonts w:ascii="TimesNewRomanPS" w:hAnsi="TimesNewRomanPS"/>
          <w:sz w:val="22"/>
          <w:szCs w:val="22"/>
        </w:rPr>
        <w:t xml:space="preserve"> </w:t>
      </w:r>
    </w:p>
    <w:p w:rsidR="00F91B81" w:rsidRDefault="00F91B81" w:rsidP="00F91B81">
      <w:pPr>
        <w:pStyle w:val="NormalWeb"/>
      </w:pPr>
      <w:r>
        <w:rPr>
          <w:rFonts w:ascii="TimesNewRomanPS" w:hAnsi="TimesNewRomanPS"/>
          <w:sz w:val="22"/>
          <w:szCs w:val="22"/>
        </w:rPr>
        <w:t xml:space="preserve">Nigel Theobald </w:t>
      </w:r>
    </w:p>
    <w:p w:rsidR="00F91B81" w:rsidRDefault="00F91B81" w:rsidP="00F91B81">
      <w:pPr>
        <w:pStyle w:val="NormalWeb"/>
      </w:pPr>
      <w:r>
        <w:rPr>
          <w:rFonts w:ascii="TimesNewRomanPS" w:hAnsi="TimesNewRomanPS"/>
          <w:i/>
          <w:iCs/>
          <w:sz w:val="20"/>
          <w:szCs w:val="20"/>
        </w:rPr>
        <w:t xml:space="preserve">Current Directorships/Partnerships </w:t>
      </w:r>
    </w:p>
    <w:p w:rsidR="00F91B81" w:rsidRDefault="00F91B81" w:rsidP="00F91B81">
      <w:pPr>
        <w:pStyle w:val="NormalWeb"/>
      </w:pPr>
      <w:r>
        <w:rPr>
          <w:rFonts w:ascii="TimesNewRomanPS" w:hAnsi="TimesNewRomanPS"/>
          <w:sz w:val="22"/>
          <w:szCs w:val="22"/>
        </w:rPr>
        <w:t>Hellenic Capital plc</w:t>
      </w:r>
      <w:r>
        <w:rPr>
          <w:rFonts w:ascii="TimesNewRomanPS" w:hAnsi="TimesNewRomanPS"/>
          <w:sz w:val="22"/>
          <w:szCs w:val="22"/>
        </w:rPr>
        <w:br/>
        <w:t xml:space="preserve">Hot Rocks Investments plc </w:t>
      </w:r>
      <w:proofErr w:type="spellStart"/>
      <w:r>
        <w:rPr>
          <w:rFonts w:ascii="TimesNewRomanPS" w:hAnsi="TimesNewRomanPS"/>
          <w:sz w:val="22"/>
          <w:szCs w:val="22"/>
        </w:rPr>
        <w:t>Lizzy</w:t>
      </w:r>
      <w:proofErr w:type="spellEnd"/>
      <w:r>
        <w:rPr>
          <w:rFonts w:ascii="TimesNewRomanPS" w:hAnsi="TimesNewRomanPS"/>
          <w:sz w:val="22"/>
          <w:szCs w:val="22"/>
        </w:rPr>
        <w:t xml:space="preserve"> Bet Limited </w:t>
      </w:r>
      <w:proofErr w:type="spellStart"/>
      <w:r>
        <w:rPr>
          <w:rFonts w:ascii="TimesNewRomanPS" w:hAnsi="TimesNewRomanPS"/>
          <w:sz w:val="22"/>
          <w:szCs w:val="22"/>
        </w:rPr>
        <w:t>Onzima</w:t>
      </w:r>
      <w:proofErr w:type="spellEnd"/>
      <w:r>
        <w:rPr>
          <w:rFonts w:ascii="TimesNewRomanPS" w:hAnsi="TimesNewRomanPS"/>
          <w:sz w:val="22"/>
          <w:szCs w:val="22"/>
        </w:rPr>
        <w:t xml:space="preserve"> Ventures plc</w:t>
      </w:r>
      <w:r>
        <w:rPr>
          <w:rFonts w:ascii="TimesNewRomanPS" w:hAnsi="TimesNewRomanPS"/>
          <w:sz w:val="22"/>
          <w:szCs w:val="22"/>
        </w:rPr>
        <w:br/>
        <w:t xml:space="preserve">Rift Resources Limited </w:t>
      </w:r>
      <w:proofErr w:type="spellStart"/>
      <w:r>
        <w:rPr>
          <w:rFonts w:ascii="TimesNewRomanPS" w:hAnsi="TimesNewRomanPS"/>
          <w:sz w:val="22"/>
          <w:szCs w:val="22"/>
        </w:rPr>
        <w:t>Ruegg</w:t>
      </w:r>
      <w:proofErr w:type="spellEnd"/>
      <w:r>
        <w:rPr>
          <w:rFonts w:ascii="TimesNewRomanPS" w:hAnsi="TimesNewRomanPS"/>
          <w:sz w:val="22"/>
          <w:szCs w:val="22"/>
        </w:rPr>
        <w:t xml:space="preserve"> &amp; Co Limited Woodland Capital Limited </w:t>
      </w:r>
    </w:p>
    <w:p w:rsidR="00F91B81" w:rsidRDefault="00F91B81" w:rsidP="00F91B81">
      <w:pPr>
        <w:pStyle w:val="NormalWeb"/>
      </w:pPr>
      <w:proofErr w:type="spellStart"/>
      <w:r>
        <w:rPr>
          <w:rFonts w:ascii="TimesNewRomanPS" w:hAnsi="TimesNewRomanPS"/>
          <w:sz w:val="22"/>
          <w:szCs w:val="22"/>
        </w:rPr>
        <w:t>Askalane</w:t>
      </w:r>
      <w:proofErr w:type="spellEnd"/>
      <w:r>
        <w:rPr>
          <w:rFonts w:ascii="TimesNewRomanPS" w:hAnsi="TimesNewRomanPS"/>
          <w:sz w:val="22"/>
          <w:szCs w:val="22"/>
        </w:rPr>
        <w:t xml:space="preserve"> Limited </w:t>
      </w:r>
      <w:proofErr w:type="spellStart"/>
      <w:r>
        <w:rPr>
          <w:rFonts w:ascii="TimesNewRomanPS" w:hAnsi="TimesNewRomanPS"/>
          <w:sz w:val="22"/>
          <w:szCs w:val="22"/>
        </w:rPr>
        <w:t>Lytegro</w:t>
      </w:r>
      <w:proofErr w:type="spellEnd"/>
      <w:r>
        <w:rPr>
          <w:rFonts w:ascii="TimesNewRomanPS" w:hAnsi="TimesNewRomanPS"/>
          <w:sz w:val="22"/>
          <w:szCs w:val="22"/>
        </w:rPr>
        <w:t xml:space="preserve"> Limited </w:t>
      </w:r>
      <w:proofErr w:type="spellStart"/>
      <w:r>
        <w:rPr>
          <w:rFonts w:ascii="TimesNewRomanPS" w:hAnsi="TimesNewRomanPS"/>
          <w:sz w:val="22"/>
          <w:szCs w:val="22"/>
        </w:rPr>
        <w:t>Medherant</w:t>
      </w:r>
      <w:proofErr w:type="spellEnd"/>
      <w:r>
        <w:rPr>
          <w:rFonts w:ascii="TimesNewRomanPS" w:hAnsi="TimesNewRomanPS"/>
          <w:sz w:val="22"/>
          <w:szCs w:val="22"/>
        </w:rPr>
        <w:t xml:space="preserve"> Limited N4 </w:t>
      </w:r>
      <w:proofErr w:type="spellStart"/>
      <w:r>
        <w:rPr>
          <w:rFonts w:ascii="TimesNewRomanPS" w:hAnsi="TimesNewRomanPS"/>
          <w:sz w:val="22"/>
          <w:szCs w:val="22"/>
        </w:rPr>
        <w:t>Pharma</w:t>
      </w:r>
      <w:proofErr w:type="spellEnd"/>
      <w:r>
        <w:rPr>
          <w:rFonts w:ascii="TimesNewRomanPS" w:hAnsi="TimesNewRomanPS"/>
          <w:sz w:val="22"/>
          <w:szCs w:val="22"/>
        </w:rPr>
        <w:t xml:space="preserve"> Limited </w:t>
      </w:r>
    </w:p>
    <w:p w:rsidR="00F91B81" w:rsidRDefault="00F91B81" w:rsidP="00F91B81">
      <w:pPr>
        <w:pStyle w:val="NormalWeb"/>
      </w:pPr>
      <w:r>
        <w:rPr>
          <w:rFonts w:ascii="TimesNewRomanPS" w:hAnsi="TimesNewRomanPS"/>
          <w:i/>
          <w:iCs/>
          <w:sz w:val="20"/>
          <w:szCs w:val="20"/>
        </w:rPr>
        <w:t xml:space="preserve">Past Directorships/Partnerships </w:t>
      </w:r>
    </w:p>
    <w:p w:rsidR="00F91B81" w:rsidRDefault="00F91B81" w:rsidP="00F91B81">
      <w:pPr>
        <w:pStyle w:val="NormalWeb"/>
      </w:pPr>
      <w:r>
        <w:rPr>
          <w:rFonts w:ascii="TimesNewRomanPS" w:hAnsi="TimesNewRomanPS"/>
          <w:sz w:val="22"/>
          <w:szCs w:val="22"/>
        </w:rPr>
        <w:t xml:space="preserve">Berkeley Estates &amp; Management </w:t>
      </w:r>
      <w:proofErr w:type="spellStart"/>
      <w:r>
        <w:rPr>
          <w:rFonts w:ascii="TimesNewRomanPS" w:hAnsi="TimesNewRomanPS"/>
          <w:sz w:val="22"/>
          <w:szCs w:val="22"/>
        </w:rPr>
        <w:t>Datanostic</w:t>
      </w:r>
      <w:proofErr w:type="spellEnd"/>
      <w:r>
        <w:rPr>
          <w:rFonts w:ascii="TimesNewRomanPS" w:hAnsi="TimesNewRomanPS"/>
          <w:sz w:val="22"/>
          <w:szCs w:val="22"/>
        </w:rPr>
        <w:t xml:space="preserve"> Limited</w:t>
      </w:r>
      <w:r>
        <w:rPr>
          <w:rFonts w:ascii="TimesNewRomanPS" w:hAnsi="TimesNewRomanPS"/>
          <w:sz w:val="22"/>
          <w:szCs w:val="22"/>
        </w:rPr>
        <w:br/>
        <w:t>Elephant Oil Limited</w:t>
      </w:r>
      <w:r>
        <w:rPr>
          <w:rFonts w:ascii="TimesNewRomanPS" w:hAnsi="TimesNewRomanPS"/>
          <w:sz w:val="22"/>
          <w:szCs w:val="22"/>
        </w:rPr>
        <w:br/>
        <w:t xml:space="preserve">Globo plc </w:t>
      </w:r>
    </w:p>
    <w:p w:rsidR="00F91B81" w:rsidRDefault="00F91B81" w:rsidP="00F91B81">
      <w:pPr>
        <w:pStyle w:val="NormalWeb"/>
      </w:pPr>
      <w:r>
        <w:rPr>
          <w:rFonts w:ascii="TimesNewRomanPS" w:hAnsi="TimesNewRomanPS"/>
          <w:sz w:val="22"/>
          <w:szCs w:val="22"/>
        </w:rPr>
        <w:t>Magnolia Petroleum plc</w:t>
      </w:r>
      <w:r>
        <w:rPr>
          <w:rFonts w:ascii="TimesNewRomanPS" w:hAnsi="TimesNewRomanPS"/>
          <w:sz w:val="22"/>
          <w:szCs w:val="22"/>
        </w:rPr>
        <w:br/>
        <w:t xml:space="preserve">North American Petroleum plc </w:t>
      </w:r>
      <w:proofErr w:type="spellStart"/>
      <w:r>
        <w:rPr>
          <w:rFonts w:ascii="TimesNewRomanPS" w:hAnsi="TimesNewRomanPS"/>
          <w:sz w:val="22"/>
          <w:szCs w:val="22"/>
        </w:rPr>
        <w:t>Prospex</w:t>
      </w:r>
      <w:proofErr w:type="spellEnd"/>
      <w:r>
        <w:rPr>
          <w:rFonts w:ascii="TimesNewRomanPS" w:hAnsi="TimesNewRomanPS"/>
          <w:sz w:val="22"/>
          <w:szCs w:val="22"/>
        </w:rPr>
        <w:t xml:space="preserve"> Oil &amp; Gas plc</w:t>
      </w:r>
      <w:r>
        <w:rPr>
          <w:rFonts w:ascii="TimesNewRomanPS" w:hAnsi="TimesNewRomanPS"/>
          <w:sz w:val="22"/>
          <w:szCs w:val="22"/>
        </w:rPr>
        <w:br/>
        <w:t>Sports 1st Limited</w:t>
      </w:r>
      <w:r>
        <w:rPr>
          <w:rFonts w:ascii="TimesNewRomanPS" w:hAnsi="TimesNewRomanPS"/>
          <w:sz w:val="22"/>
          <w:szCs w:val="22"/>
        </w:rPr>
        <w:br/>
        <w:t xml:space="preserve">Sula Iron &amp; Gold plc </w:t>
      </w:r>
    </w:p>
    <w:p w:rsidR="00F91B81" w:rsidRDefault="00F91B81" w:rsidP="00F91B81">
      <w:pPr>
        <w:pStyle w:val="NormalWeb"/>
      </w:pPr>
      <w:r>
        <w:rPr>
          <w:rFonts w:ascii="TimesNewRomanPS" w:hAnsi="TimesNewRomanPS"/>
          <w:sz w:val="22"/>
          <w:szCs w:val="22"/>
        </w:rPr>
        <w:lastRenderedPageBreak/>
        <w:t xml:space="preserve">Oxford </w:t>
      </w:r>
      <w:proofErr w:type="spellStart"/>
      <w:r>
        <w:rPr>
          <w:rFonts w:ascii="TimesNewRomanPS" w:hAnsi="TimesNewRomanPS"/>
          <w:sz w:val="22"/>
          <w:szCs w:val="22"/>
        </w:rPr>
        <w:t>Nutra</w:t>
      </w:r>
      <w:proofErr w:type="spellEnd"/>
      <w:r>
        <w:rPr>
          <w:rFonts w:ascii="TimesNewRomanPS" w:hAnsi="TimesNewRomanPS"/>
          <w:sz w:val="22"/>
          <w:szCs w:val="22"/>
        </w:rPr>
        <w:t xml:space="preserve"> Limited</w:t>
      </w:r>
      <w:r>
        <w:rPr>
          <w:rFonts w:ascii="TimesNewRomanPS" w:hAnsi="TimesNewRomanPS"/>
          <w:sz w:val="22"/>
          <w:szCs w:val="22"/>
        </w:rPr>
        <w:br/>
        <w:t xml:space="preserve">Oxford </w:t>
      </w:r>
      <w:proofErr w:type="spellStart"/>
      <w:r>
        <w:rPr>
          <w:rFonts w:ascii="TimesNewRomanPS" w:hAnsi="TimesNewRomanPS"/>
          <w:sz w:val="22"/>
          <w:szCs w:val="22"/>
        </w:rPr>
        <w:t>Pharmascience</w:t>
      </w:r>
      <w:proofErr w:type="spellEnd"/>
      <w:r>
        <w:rPr>
          <w:rFonts w:ascii="TimesNewRomanPS" w:hAnsi="TimesNewRomanPS"/>
          <w:sz w:val="22"/>
          <w:szCs w:val="22"/>
        </w:rPr>
        <w:t xml:space="preserve"> Group plc Oxford </w:t>
      </w:r>
      <w:proofErr w:type="spellStart"/>
      <w:r>
        <w:rPr>
          <w:rFonts w:ascii="TimesNewRomanPS" w:hAnsi="TimesNewRomanPS"/>
          <w:sz w:val="22"/>
          <w:szCs w:val="22"/>
        </w:rPr>
        <w:t>Pharmascience</w:t>
      </w:r>
      <w:proofErr w:type="spellEnd"/>
      <w:r>
        <w:rPr>
          <w:rFonts w:ascii="TimesNewRomanPS" w:hAnsi="TimesNewRomanPS"/>
          <w:sz w:val="22"/>
          <w:szCs w:val="22"/>
        </w:rPr>
        <w:t xml:space="preserve"> Limited </w:t>
      </w:r>
    </w:p>
    <w:p w:rsidR="00F91B81" w:rsidRDefault="00F91B81" w:rsidP="00F91B81">
      <w:pPr>
        <w:pStyle w:val="NormalWeb"/>
      </w:pPr>
      <w:r>
        <w:rPr>
          <w:rFonts w:ascii="TimesNewRomanPS" w:hAnsi="TimesNewRomanPS"/>
          <w:sz w:val="20"/>
          <w:szCs w:val="20"/>
          <w:shd w:val="clear" w:color="auto" w:fill="FFFFFF"/>
        </w:rPr>
        <w:t xml:space="preserve">122 </w:t>
      </w:r>
    </w:p>
    <w:p w:rsidR="00F91B81" w:rsidRDefault="00F91B81" w:rsidP="00F91B81">
      <w:pPr>
        <w:pStyle w:val="NormalWeb"/>
      </w:pPr>
      <w:r>
        <w:rPr>
          <w:rFonts w:ascii="TimesNewRomanPS" w:hAnsi="TimesNewRomanPS"/>
          <w:i/>
          <w:iCs/>
          <w:sz w:val="20"/>
          <w:szCs w:val="20"/>
        </w:rPr>
        <w:t xml:space="preserve">Name </w:t>
      </w:r>
    </w:p>
    <w:p w:rsidR="00F91B81" w:rsidRDefault="00F91B81" w:rsidP="00F91B81">
      <w:pPr>
        <w:pStyle w:val="NormalWeb"/>
      </w:pPr>
      <w:r>
        <w:rPr>
          <w:rFonts w:ascii="TimesNewRomanPS" w:hAnsi="TimesNewRomanPS"/>
          <w:sz w:val="22"/>
          <w:szCs w:val="22"/>
        </w:rPr>
        <w:t xml:space="preserve">Paul </w:t>
      </w:r>
      <w:proofErr w:type="spellStart"/>
      <w:r>
        <w:rPr>
          <w:rFonts w:ascii="TimesNewRomanPS" w:hAnsi="TimesNewRomanPS"/>
          <w:sz w:val="22"/>
          <w:szCs w:val="22"/>
        </w:rPr>
        <w:t>Titley</w:t>
      </w:r>
      <w:proofErr w:type="spellEnd"/>
      <w:r>
        <w:rPr>
          <w:rFonts w:ascii="TimesNewRomanPS" w:hAnsi="TimesNewRomanPS"/>
          <w:sz w:val="22"/>
          <w:szCs w:val="22"/>
        </w:rPr>
        <w:t xml:space="preserve"> </w:t>
      </w:r>
    </w:p>
    <w:p w:rsidR="00F91B81" w:rsidRDefault="00F91B81" w:rsidP="00F91B81">
      <w:pPr>
        <w:pStyle w:val="NormalWeb"/>
      </w:pPr>
      <w:r>
        <w:rPr>
          <w:rFonts w:ascii="TimesNewRomanPS" w:hAnsi="TimesNewRomanPS"/>
          <w:sz w:val="22"/>
          <w:szCs w:val="22"/>
        </w:rPr>
        <w:t xml:space="preserve">David Templeton Luke Cairns </w:t>
      </w:r>
    </w:p>
    <w:p w:rsidR="00F91B81" w:rsidRDefault="00F91B81" w:rsidP="00F91B81">
      <w:pPr>
        <w:pStyle w:val="NormalWeb"/>
      </w:pPr>
      <w:proofErr w:type="spellStart"/>
      <w:r>
        <w:rPr>
          <w:rFonts w:ascii="TimesNewRomanPS" w:hAnsi="TimesNewRomanPS"/>
          <w:sz w:val="22"/>
          <w:szCs w:val="22"/>
        </w:rPr>
        <w:t>Humayun</w:t>
      </w:r>
      <w:proofErr w:type="spellEnd"/>
      <w:r>
        <w:rPr>
          <w:rFonts w:ascii="TimesNewRomanPS" w:hAnsi="TimesNewRomanPS"/>
          <w:sz w:val="22"/>
          <w:szCs w:val="22"/>
        </w:rPr>
        <w:t xml:space="preserve"> </w:t>
      </w:r>
      <w:proofErr w:type="spellStart"/>
      <w:r>
        <w:rPr>
          <w:rFonts w:ascii="TimesNewRomanPS" w:hAnsi="TimesNewRomanPS"/>
          <w:sz w:val="22"/>
          <w:szCs w:val="22"/>
        </w:rPr>
        <w:t>Mughal</w:t>
      </w:r>
      <w:proofErr w:type="spellEnd"/>
      <w:r>
        <w:rPr>
          <w:rFonts w:ascii="TimesNewRomanPS" w:hAnsi="TimesNewRomanPS"/>
          <w:sz w:val="22"/>
          <w:szCs w:val="22"/>
        </w:rPr>
        <w:t xml:space="preserve"> </w:t>
      </w:r>
    </w:p>
    <w:p w:rsidR="00F91B81" w:rsidRDefault="00F91B81" w:rsidP="00F91B81">
      <w:pPr>
        <w:pStyle w:val="NormalWeb"/>
      </w:pPr>
      <w:r>
        <w:rPr>
          <w:rFonts w:ascii="TimesNewRomanPS" w:hAnsi="TimesNewRomanPS"/>
          <w:i/>
          <w:iCs/>
          <w:sz w:val="20"/>
          <w:szCs w:val="20"/>
        </w:rPr>
        <w:t xml:space="preserve">Current Directorships/Partnerships </w:t>
      </w:r>
    </w:p>
    <w:p w:rsidR="00F91B81" w:rsidRDefault="00F91B81" w:rsidP="00F91B81">
      <w:pPr>
        <w:pStyle w:val="NormalWeb"/>
      </w:pPr>
      <w:r>
        <w:rPr>
          <w:rFonts w:ascii="TimesNewRomanPS" w:hAnsi="TimesNewRomanPS"/>
          <w:sz w:val="22"/>
          <w:szCs w:val="22"/>
        </w:rPr>
        <w:t xml:space="preserve">Critical Pharmaceuticals Ltd Keswick Community Asset Company Keswick Museum and Art Gallery N4 Pharma Limited </w:t>
      </w:r>
    </w:p>
    <w:p w:rsidR="00F91B81" w:rsidRDefault="00F91B81" w:rsidP="00F91B81">
      <w:pPr>
        <w:pStyle w:val="NormalWeb"/>
      </w:pPr>
      <w:r>
        <w:rPr>
          <w:rFonts w:ascii="TimesNewRomanPS" w:hAnsi="TimesNewRomanPS"/>
          <w:sz w:val="22"/>
          <w:szCs w:val="22"/>
        </w:rPr>
        <w:t xml:space="preserve">None </w:t>
      </w:r>
    </w:p>
    <w:p w:rsidR="00F91B81" w:rsidRDefault="00F91B81" w:rsidP="00F91B81">
      <w:pPr>
        <w:pStyle w:val="NormalWeb"/>
      </w:pPr>
      <w:r>
        <w:rPr>
          <w:rFonts w:ascii="TimesNewRomanPS" w:hAnsi="TimesNewRomanPS"/>
          <w:sz w:val="22"/>
          <w:szCs w:val="22"/>
        </w:rPr>
        <w:t>Apex2100 Limited</w:t>
      </w:r>
      <w:r>
        <w:rPr>
          <w:rFonts w:ascii="TimesNewRomanPS" w:hAnsi="TimesNewRomanPS"/>
          <w:sz w:val="22"/>
          <w:szCs w:val="22"/>
        </w:rPr>
        <w:br/>
        <w:t xml:space="preserve">The Apex2100 Foundation Doyle Energy Limited </w:t>
      </w:r>
      <w:proofErr w:type="spellStart"/>
      <w:r>
        <w:rPr>
          <w:rFonts w:ascii="TimesNewRomanPS" w:hAnsi="TimesNewRomanPS"/>
          <w:sz w:val="22"/>
          <w:szCs w:val="22"/>
        </w:rPr>
        <w:t>Lionsgold</w:t>
      </w:r>
      <w:proofErr w:type="spellEnd"/>
      <w:r>
        <w:rPr>
          <w:rFonts w:ascii="TimesNewRomanPS" w:hAnsi="TimesNewRomanPS"/>
          <w:sz w:val="22"/>
          <w:szCs w:val="22"/>
        </w:rPr>
        <w:t xml:space="preserve"> Limited</w:t>
      </w:r>
      <w:r>
        <w:rPr>
          <w:rFonts w:ascii="TimesNewRomanPS" w:hAnsi="TimesNewRomanPS"/>
          <w:sz w:val="22"/>
          <w:szCs w:val="22"/>
        </w:rPr>
        <w:br/>
        <w:t xml:space="preserve">LSC Advisory Limited Lyford </w:t>
      </w:r>
      <w:proofErr w:type="spellStart"/>
      <w:r>
        <w:rPr>
          <w:rFonts w:ascii="TimesNewRomanPS" w:hAnsi="TimesNewRomanPS"/>
          <w:sz w:val="22"/>
          <w:szCs w:val="22"/>
        </w:rPr>
        <w:t>Renewables</w:t>
      </w:r>
      <w:proofErr w:type="spellEnd"/>
      <w:r>
        <w:rPr>
          <w:rFonts w:ascii="TimesNewRomanPS" w:hAnsi="TimesNewRomanPS"/>
          <w:sz w:val="22"/>
          <w:szCs w:val="22"/>
        </w:rPr>
        <w:t xml:space="preserve"> Limited </w:t>
      </w:r>
      <w:proofErr w:type="spellStart"/>
      <w:r>
        <w:rPr>
          <w:rFonts w:ascii="TimesNewRomanPS" w:hAnsi="TimesNewRomanPS"/>
          <w:sz w:val="22"/>
          <w:szCs w:val="22"/>
        </w:rPr>
        <w:t>Onzima</w:t>
      </w:r>
      <w:proofErr w:type="spellEnd"/>
      <w:r>
        <w:rPr>
          <w:rFonts w:ascii="TimesNewRomanPS" w:hAnsi="TimesNewRomanPS"/>
          <w:sz w:val="22"/>
          <w:szCs w:val="22"/>
        </w:rPr>
        <w:t xml:space="preserve"> Ventures Plc Weighbridge Trust Limited </w:t>
      </w:r>
    </w:p>
    <w:p w:rsidR="00F91B81" w:rsidRDefault="00F91B81" w:rsidP="00F91B81">
      <w:pPr>
        <w:pStyle w:val="NormalWeb"/>
      </w:pPr>
      <w:proofErr w:type="spellStart"/>
      <w:r>
        <w:rPr>
          <w:rFonts w:ascii="TimesNewRomanPS" w:hAnsi="TimesNewRomanPS"/>
          <w:sz w:val="22"/>
          <w:szCs w:val="22"/>
        </w:rPr>
        <w:t>Akhter</w:t>
      </w:r>
      <w:proofErr w:type="spellEnd"/>
      <w:r>
        <w:rPr>
          <w:rFonts w:ascii="TimesNewRomanPS" w:hAnsi="TimesNewRomanPS"/>
          <w:sz w:val="22"/>
          <w:szCs w:val="22"/>
        </w:rPr>
        <w:t xml:space="preserve"> Computers plc</w:t>
      </w:r>
      <w:r>
        <w:rPr>
          <w:rFonts w:ascii="TimesNewRomanPS" w:hAnsi="TimesNewRomanPS"/>
          <w:sz w:val="22"/>
          <w:szCs w:val="22"/>
        </w:rPr>
        <w:br/>
      </w:r>
      <w:proofErr w:type="spellStart"/>
      <w:r>
        <w:rPr>
          <w:rFonts w:ascii="TimesNewRomanPS" w:hAnsi="TimesNewRomanPS"/>
          <w:sz w:val="22"/>
          <w:szCs w:val="22"/>
        </w:rPr>
        <w:t>Akhter</w:t>
      </w:r>
      <w:proofErr w:type="spellEnd"/>
      <w:r>
        <w:rPr>
          <w:rFonts w:ascii="TimesNewRomanPS" w:hAnsi="TimesNewRomanPS"/>
          <w:sz w:val="22"/>
          <w:szCs w:val="22"/>
        </w:rPr>
        <w:t xml:space="preserve"> Group Limited</w:t>
      </w:r>
      <w:r>
        <w:rPr>
          <w:rFonts w:ascii="TimesNewRomanPS" w:hAnsi="TimesNewRomanPS"/>
          <w:sz w:val="22"/>
          <w:szCs w:val="22"/>
        </w:rPr>
        <w:br/>
        <w:t>Cambridge Science Schools Limited Cambridge Science &amp; Technology Training Limited</w:t>
      </w:r>
      <w:r>
        <w:rPr>
          <w:rFonts w:ascii="TimesNewRomanPS" w:hAnsi="TimesNewRomanPS"/>
          <w:sz w:val="22"/>
          <w:szCs w:val="22"/>
        </w:rPr>
        <w:br/>
      </w:r>
      <w:proofErr w:type="spellStart"/>
      <w:r>
        <w:rPr>
          <w:rFonts w:ascii="TimesNewRomanPS" w:hAnsi="TimesNewRomanPS"/>
          <w:sz w:val="22"/>
          <w:szCs w:val="22"/>
        </w:rPr>
        <w:t>Cognito</w:t>
      </w:r>
      <w:proofErr w:type="spellEnd"/>
      <w:r>
        <w:rPr>
          <w:rFonts w:ascii="TimesNewRomanPS" w:hAnsi="TimesNewRomanPS"/>
          <w:sz w:val="22"/>
          <w:szCs w:val="22"/>
        </w:rPr>
        <w:t xml:space="preserve"> Software Limited</w:t>
      </w:r>
      <w:r>
        <w:rPr>
          <w:rFonts w:ascii="TimesNewRomanPS" w:hAnsi="TimesNewRomanPS"/>
          <w:sz w:val="22"/>
          <w:szCs w:val="22"/>
        </w:rPr>
        <w:br/>
        <w:t xml:space="preserve">J.C.S. Computing Solutions Limited </w:t>
      </w:r>
      <w:proofErr w:type="spellStart"/>
      <w:r>
        <w:rPr>
          <w:rFonts w:ascii="TimesNewRomanPS" w:hAnsi="TimesNewRomanPS"/>
          <w:sz w:val="22"/>
          <w:szCs w:val="22"/>
        </w:rPr>
        <w:t>Onzima</w:t>
      </w:r>
      <w:proofErr w:type="spellEnd"/>
      <w:r>
        <w:rPr>
          <w:rFonts w:ascii="TimesNewRomanPS" w:hAnsi="TimesNewRomanPS"/>
          <w:sz w:val="22"/>
          <w:szCs w:val="22"/>
        </w:rPr>
        <w:t xml:space="preserve"> Ventures plc</w:t>
      </w:r>
      <w:r>
        <w:rPr>
          <w:rFonts w:ascii="TimesNewRomanPS" w:hAnsi="TimesNewRomanPS"/>
          <w:sz w:val="22"/>
          <w:szCs w:val="22"/>
        </w:rPr>
        <w:br/>
        <w:t>Silicon CPV plc</w:t>
      </w:r>
      <w:r>
        <w:rPr>
          <w:rFonts w:ascii="TimesNewRomanPS" w:hAnsi="TimesNewRomanPS"/>
          <w:sz w:val="22"/>
          <w:szCs w:val="22"/>
        </w:rPr>
        <w:br/>
      </w:r>
      <w:proofErr w:type="spellStart"/>
      <w:r>
        <w:rPr>
          <w:rFonts w:ascii="TimesNewRomanPS" w:hAnsi="TimesNewRomanPS"/>
          <w:sz w:val="22"/>
          <w:szCs w:val="22"/>
        </w:rPr>
        <w:t>Ultima</w:t>
      </w:r>
      <w:proofErr w:type="spellEnd"/>
      <w:r>
        <w:rPr>
          <w:rFonts w:ascii="TimesNewRomanPS" w:hAnsi="TimesNewRomanPS"/>
          <w:sz w:val="22"/>
          <w:szCs w:val="22"/>
        </w:rPr>
        <w:t xml:space="preserve"> </w:t>
      </w:r>
      <w:proofErr w:type="spellStart"/>
      <w:r>
        <w:rPr>
          <w:rFonts w:ascii="TimesNewRomanPS" w:hAnsi="TimesNewRomanPS"/>
          <w:sz w:val="22"/>
          <w:szCs w:val="22"/>
        </w:rPr>
        <w:t>Newco</w:t>
      </w:r>
      <w:proofErr w:type="spellEnd"/>
      <w:r>
        <w:rPr>
          <w:rFonts w:ascii="TimesNewRomanPS" w:hAnsi="TimesNewRomanPS"/>
          <w:sz w:val="22"/>
          <w:szCs w:val="22"/>
        </w:rPr>
        <w:t xml:space="preserve"> Limited</w:t>
      </w:r>
      <w:r>
        <w:rPr>
          <w:rFonts w:ascii="TimesNewRomanPS" w:hAnsi="TimesNewRomanPS"/>
          <w:sz w:val="22"/>
          <w:szCs w:val="22"/>
        </w:rPr>
        <w:br/>
        <w:t xml:space="preserve">UTN Solutions (North) Limited </w:t>
      </w:r>
    </w:p>
    <w:p w:rsidR="00F91B81" w:rsidRDefault="00F91B81" w:rsidP="00F91B81">
      <w:pPr>
        <w:pStyle w:val="NormalWeb"/>
      </w:pPr>
      <w:r>
        <w:rPr>
          <w:rFonts w:ascii="TimesNewRomanPS" w:hAnsi="TimesNewRomanPS"/>
          <w:i/>
          <w:iCs/>
          <w:sz w:val="20"/>
          <w:szCs w:val="20"/>
        </w:rPr>
        <w:t xml:space="preserve">Past Directorships/Partnerships </w:t>
      </w:r>
    </w:p>
    <w:p w:rsidR="00F91B81" w:rsidRDefault="00F91B81" w:rsidP="00F91B81">
      <w:pPr>
        <w:pStyle w:val="NormalWeb"/>
      </w:pPr>
      <w:proofErr w:type="spellStart"/>
      <w:r>
        <w:rPr>
          <w:rFonts w:ascii="TimesNewRomanPS" w:hAnsi="TimesNewRomanPS"/>
          <w:sz w:val="22"/>
          <w:szCs w:val="22"/>
        </w:rPr>
        <w:t>Aesica</w:t>
      </w:r>
      <w:proofErr w:type="spellEnd"/>
      <w:r>
        <w:rPr>
          <w:rFonts w:ascii="TimesNewRomanPS" w:hAnsi="TimesNewRomanPS"/>
          <w:sz w:val="22"/>
          <w:szCs w:val="22"/>
        </w:rPr>
        <w:t xml:space="preserve"> Formulation Development </w:t>
      </w:r>
    </w:p>
    <w:p w:rsidR="00F91B81" w:rsidRDefault="00F91B81" w:rsidP="00F91B81">
      <w:pPr>
        <w:pStyle w:val="NormalWeb"/>
      </w:pPr>
      <w:r>
        <w:rPr>
          <w:rFonts w:ascii="TimesNewRomanPS" w:hAnsi="TimesNewRomanPS"/>
          <w:sz w:val="22"/>
          <w:szCs w:val="22"/>
        </w:rPr>
        <w:t xml:space="preserve">DT Pharmacology Consultancy Limited </w:t>
      </w:r>
    </w:p>
    <w:p w:rsidR="00F91B81" w:rsidRDefault="00F91B81" w:rsidP="00F91B81">
      <w:pPr>
        <w:pStyle w:val="NormalWeb"/>
      </w:pPr>
      <w:proofErr w:type="spellStart"/>
      <w:r>
        <w:rPr>
          <w:rFonts w:ascii="TimesNewRomanPS" w:hAnsi="TimesNewRomanPS"/>
          <w:sz w:val="22"/>
          <w:szCs w:val="22"/>
        </w:rPr>
        <w:t>Carduus</w:t>
      </w:r>
      <w:proofErr w:type="spellEnd"/>
      <w:r>
        <w:rPr>
          <w:rFonts w:ascii="TimesNewRomanPS" w:hAnsi="TimesNewRomanPS"/>
          <w:sz w:val="22"/>
          <w:szCs w:val="22"/>
        </w:rPr>
        <w:t xml:space="preserve"> Housing plc</w:t>
      </w:r>
      <w:r>
        <w:rPr>
          <w:rFonts w:ascii="TimesNewRomanPS" w:hAnsi="TimesNewRomanPS"/>
          <w:sz w:val="22"/>
          <w:szCs w:val="22"/>
        </w:rPr>
        <w:br/>
        <w:t xml:space="preserve">Northland Capital Partners plc </w:t>
      </w:r>
      <w:proofErr w:type="spellStart"/>
      <w:r>
        <w:rPr>
          <w:rFonts w:ascii="TimesNewRomanPS" w:hAnsi="TimesNewRomanPS"/>
          <w:sz w:val="22"/>
          <w:szCs w:val="22"/>
        </w:rPr>
        <w:t>Rame</w:t>
      </w:r>
      <w:proofErr w:type="spellEnd"/>
      <w:r>
        <w:rPr>
          <w:rFonts w:ascii="TimesNewRomanPS" w:hAnsi="TimesNewRomanPS"/>
          <w:sz w:val="22"/>
          <w:szCs w:val="22"/>
        </w:rPr>
        <w:t xml:space="preserve"> Solar Limited</w:t>
      </w:r>
      <w:r>
        <w:rPr>
          <w:rFonts w:ascii="TimesNewRomanPS" w:hAnsi="TimesNewRomanPS"/>
          <w:sz w:val="22"/>
          <w:szCs w:val="22"/>
        </w:rPr>
        <w:br/>
        <w:t xml:space="preserve">Swan Alley (Nominees) Limited </w:t>
      </w:r>
      <w:proofErr w:type="spellStart"/>
      <w:r>
        <w:rPr>
          <w:rFonts w:ascii="TimesNewRomanPS" w:hAnsi="TimesNewRomanPS"/>
          <w:sz w:val="22"/>
          <w:szCs w:val="22"/>
        </w:rPr>
        <w:t>Uflutter</w:t>
      </w:r>
      <w:proofErr w:type="spellEnd"/>
      <w:r>
        <w:rPr>
          <w:rFonts w:ascii="TimesNewRomanPS" w:hAnsi="TimesNewRomanPS"/>
          <w:sz w:val="22"/>
          <w:szCs w:val="22"/>
        </w:rPr>
        <w:t xml:space="preserve"> Holdings Limited </w:t>
      </w:r>
    </w:p>
    <w:p w:rsidR="00F91B81" w:rsidRDefault="00F91B81" w:rsidP="00F91B81">
      <w:pPr>
        <w:pStyle w:val="NormalWeb"/>
      </w:pPr>
      <w:r>
        <w:rPr>
          <w:rFonts w:ascii="TimesNewRomanPS" w:hAnsi="TimesNewRomanPS"/>
          <w:sz w:val="22"/>
          <w:szCs w:val="22"/>
        </w:rPr>
        <w:t xml:space="preserve">The Afghan Educational Trust New Communications Ltd </w:t>
      </w:r>
    </w:p>
    <w:p w:rsidR="00F91B81" w:rsidRDefault="00F91B81" w:rsidP="00F91B81">
      <w:pPr>
        <w:pStyle w:val="NormalWeb"/>
        <w:numPr>
          <w:ilvl w:val="0"/>
          <w:numId w:val="5"/>
        </w:numPr>
      </w:pPr>
      <w:r>
        <w:rPr>
          <w:rFonts w:ascii="TimesNewRomanPS" w:hAnsi="TimesNewRomanPS"/>
          <w:sz w:val="22"/>
          <w:szCs w:val="22"/>
        </w:rPr>
        <w:t xml:space="preserve">9.2.  Gavin </w:t>
      </w:r>
      <w:proofErr w:type="spellStart"/>
      <w:r>
        <w:rPr>
          <w:rFonts w:ascii="TimesNewRomanPS" w:hAnsi="TimesNewRomanPS"/>
          <w:sz w:val="22"/>
          <w:szCs w:val="22"/>
        </w:rPr>
        <w:t>Burnell</w:t>
      </w:r>
      <w:proofErr w:type="spellEnd"/>
      <w:r>
        <w:rPr>
          <w:rFonts w:ascii="TimesNewRomanPS" w:hAnsi="TimesNewRomanPS"/>
          <w:sz w:val="22"/>
          <w:szCs w:val="22"/>
        </w:rPr>
        <w:t xml:space="preserve"> was a non-executive director of Globo plc until it went into administration on 3 November 2015. The amount owing to unsecured creditors according to the joint administrators’ report dated 18 December 2015 totalled £38.1 million. </w:t>
      </w:r>
    </w:p>
    <w:p w:rsidR="00F96C43" w:rsidRPr="006C4CB2" w:rsidRDefault="00E23134">
      <w:pPr>
        <w:rPr>
          <w:b/>
        </w:rPr>
      </w:pPr>
      <w:proofErr w:type="spellStart"/>
      <w:r w:rsidRPr="006C4CB2">
        <w:rPr>
          <w:b/>
        </w:rPr>
        <w:t>Ideagen</w:t>
      </w:r>
      <w:proofErr w:type="spellEnd"/>
    </w:p>
    <w:p w:rsidR="00EE10FE" w:rsidRDefault="00EE10FE"/>
    <w:p w:rsidR="00E23134" w:rsidRDefault="00EE10FE">
      <w:r>
        <w:lastRenderedPageBreak/>
        <w:t>The CEO is pa</w:t>
      </w:r>
      <w:r w:rsidR="006C4CB2">
        <w:t>id</w:t>
      </w:r>
      <w:r>
        <w:t xml:space="preserve"> a modest salary of £170k p.a., but quite a large bonus meant his total emoluments (excluding share scheme remuneration) was £290k in 2016 compared to a much more modest £174k the previous year</w:t>
      </w:r>
      <w:r w:rsidR="00E23134">
        <w:t>.</w:t>
      </w:r>
      <w:r>
        <w:t xml:space="preserve"> </w:t>
      </w:r>
      <w:r w:rsidR="006C4CB2">
        <w:t>David Hornsby bought into the company at 2p a share and owns 4% of the shares, so is strongly incentivised and aligned with shareholders.</w:t>
      </w:r>
    </w:p>
    <w:p w:rsidR="006C4CB2" w:rsidRDefault="006C4CB2"/>
    <w:p w:rsidR="006C4CB2" w:rsidRDefault="006C4CB2">
      <w:proofErr w:type="spellStart"/>
      <w:r>
        <w:t>LoopUp</w:t>
      </w:r>
      <w:proofErr w:type="spellEnd"/>
    </w:p>
    <w:p w:rsidR="006C4CB2" w:rsidRDefault="006C4CB2"/>
    <w:p w:rsidR="0090646C" w:rsidRPr="0090646C" w:rsidRDefault="0090646C" w:rsidP="0090646C">
      <w:pPr>
        <w:pStyle w:val="NormalWeb"/>
      </w:pPr>
      <w:r>
        <w:t xml:space="preserve">The two co-CEOs </w:t>
      </w:r>
      <w:r w:rsidRPr="0090646C">
        <w:t xml:space="preserve">Steve </w:t>
      </w:r>
      <w:proofErr w:type="spellStart"/>
      <w:r w:rsidRPr="0090646C">
        <w:t>Flavell</w:t>
      </w:r>
      <w:proofErr w:type="spellEnd"/>
      <w:r w:rsidRPr="0090646C">
        <w:t xml:space="preserve"> and Michael Hughes each own 2.7m shares worth about £8.5million each and have options over 880,000 shares with an exercise price of 75p. The current price is 280p, so the options are each in the money to the tune of £1.8m. </w:t>
      </w:r>
    </w:p>
    <w:p w:rsidR="0090646C" w:rsidRDefault="0090646C" w:rsidP="0090646C">
      <w:pPr>
        <w:pStyle w:val="NormalWeb"/>
      </w:pPr>
      <w:r w:rsidRPr="0090646C">
        <w:t>T</w:t>
      </w:r>
      <w:r w:rsidRPr="0090646C">
        <w:rPr>
          <w:rFonts w:hint="eastAsia"/>
        </w:rPr>
        <w:t>heir</w:t>
      </w:r>
      <w:r w:rsidRPr="0090646C">
        <w:t xml:space="preserve"> cash pay of £345k and £298K totalled £643k which is quite a lot for a company with only £27million of </w:t>
      </w:r>
      <w:r w:rsidRPr="0090646C">
        <w:rPr>
          <w:rFonts w:hint="eastAsia"/>
        </w:rPr>
        <w:t>turnover</w:t>
      </w:r>
      <w:r w:rsidRPr="0090646C">
        <w:t>.</w:t>
      </w:r>
    </w:p>
    <w:p w:rsidR="006C4CB2" w:rsidRDefault="0090646C" w:rsidP="0090646C">
      <w:pPr>
        <w:pStyle w:val="NormalWeb"/>
      </w:pPr>
      <w:r>
        <w:t>Note prepared b</w:t>
      </w:r>
      <w:bookmarkStart w:id="0" w:name="_GoBack"/>
      <w:bookmarkEnd w:id="0"/>
      <w:r>
        <w:t>y Cliff Weight, 9 Nov 2017.</w:t>
      </w:r>
    </w:p>
    <w:sectPr w:rsidR="006C4CB2" w:rsidSect="007258E3">
      <w:pgSz w:w="11905" w:h="16837"/>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kzidenzGrotesk">
    <w:altName w:val="Times New Roman"/>
    <w:panose1 w:val="00000000000000000000"/>
    <w:charset w:val="00"/>
    <w:family w:val="roman"/>
    <w:notTrueType/>
    <w:pitch w:val="default"/>
    <w:sig w:usb0="00000000" w:usb1="00000000" w:usb2="00000000" w:usb3="00000000" w:csb0="00000000" w:csb1="00000000"/>
  </w:font>
  <w:font w:name="TimesNewRomanPS">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17FB5"/>
    <w:multiLevelType w:val="multilevel"/>
    <w:tmpl w:val="4120C44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4381404"/>
    <w:multiLevelType w:val="multilevel"/>
    <w:tmpl w:val="FDEA8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52B24B6"/>
    <w:multiLevelType w:val="multilevel"/>
    <w:tmpl w:val="438005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A0077A7"/>
    <w:multiLevelType w:val="multilevel"/>
    <w:tmpl w:val="0B9CC0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D9F0175"/>
    <w:multiLevelType w:val="multilevel"/>
    <w:tmpl w:val="0316E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3"/>
  <w:doNotDisplayPageBoundaries/>
  <w:proofState w:spelling="clean" w:grammar="clean"/>
  <w:defaultTabStop w:val="720"/>
  <w:characterSpacingControl w:val="doNotCompress"/>
  <w:compat/>
  <w:rsids>
    <w:rsidRoot w:val="00F027FB"/>
    <w:rsid w:val="00206520"/>
    <w:rsid w:val="0022731F"/>
    <w:rsid w:val="00331788"/>
    <w:rsid w:val="0045447F"/>
    <w:rsid w:val="005E1173"/>
    <w:rsid w:val="006C4CB2"/>
    <w:rsid w:val="00705E1D"/>
    <w:rsid w:val="007258E3"/>
    <w:rsid w:val="007B694F"/>
    <w:rsid w:val="0090646C"/>
    <w:rsid w:val="009F5759"/>
    <w:rsid w:val="00AA4D42"/>
    <w:rsid w:val="00AC1582"/>
    <w:rsid w:val="00BB75E8"/>
    <w:rsid w:val="00C13A3B"/>
    <w:rsid w:val="00CB78FF"/>
    <w:rsid w:val="00D84B4B"/>
    <w:rsid w:val="00DA0C49"/>
    <w:rsid w:val="00DF6974"/>
    <w:rsid w:val="00E23134"/>
    <w:rsid w:val="00EE10FE"/>
    <w:rsid w:val="00F027FB"/>
    <w:rsid w:val="00F91B81"/>
    <w:rsid w:val="00F96C4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731F"/>
    <w:rPr>
      <w:rFonts w:ascii="Calibri" w:hAnsi="Calibri"/>
      <w:lang w:eastAsia="en-GB"/>
    </w:rPr>
  </w:style>
  <w:style w:type="paragraph" w:styleId="Heading1">
    <w:name w:val="heading 1"/>
    <w:basedOn w:val="Normal"/>
    <w:link w:val="Heading1Char"/>
    <w:uiPriority w:val="9"/>
    <w:qFormat/>
    <w:rsid w:val="0022731F"/>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027FB"/>
    <w:pPr>
      <w:spacing w:before="100" w:beforeAutospacing="1" w:after="100" w:afterAutospacing="1"/>
    </w:pPr>
    <w:rPr>
      <w:rFonts w:cs="Times New Roman"/>
    </w:rPr>
  </w:style>
  <w:style w:type="character" w:styleId="Hyperlink">
    <w:name w:val="Hyperlink"/>
    <w:basedOn w:val="DefaultParagraphFont"/>
    <w:uiPriority w:val="99"/>
    <w:unhideWhenUsed/>
    <w:rsid w:val="00F91B81"/>
    <w:rPr>
      <w:color w:val="0563C1" w:themeColor="hyperlink"/>
      <w:u w:val="single"/>
    </w:rPr>
  </w:style>
  <w:style w:type="character" w:customStyle="1" w:styleId="Heading1Char">
    <w:name w:val="Heading 1 Char"/>
    <w:basedOn w:val="DefaultParagraphFont"/>
    <w:link w:val="Heading1"/>
    <w:uiPriority w:val="9"/>
    <w:rsid w:val="0022731F"/>
    <w:rPr>
      <w:rFonts w:ascii="Calibri" w:hAnsi="Calibri"/>
      <w:b/>
      <w:bCs/>
      <w:kern w:val="36"/>
      <w:sz w:val="48"/>
      <w:szCs w:val="48"/>
      <w:lang w:eastAsia="en-GB"/>
    </w:rPr>
  </w:style>
  <w:style w:type="character" w:customStyle="1" w:styleId="securityname">
    <w:name w:val="securityname"/>
    <w:basedOn w:val="DefaultParagraphFont"/>
    <w:rsid w:val="0022731F"/>
  </w:style>
  <w:style w:type="character" w:customStyle="1" w:styleId="apple-converted-space">
    <w:name w:val="apple-converted-space"/>
    <w:basedOn w:val="DefaultParagraphFont"/>
    <w:rsid w:val="0022731F"/>
  </w:style>
  <w:style w:type="character" w:customStyle="1" w:styleId="securitysymbol">
    <w:name w:val="securitysymbol"/>
    <w:basedOn w:val="DefaultParagraphFont"/>
    <w:rsid w:val="0022731F"/>
  </w:style>
</w:styles>
</file>

<file path=word/webSettings.xml><?xml version="1.0" encoding="utf-8"?>
<w:webSettings xmlns:r="http://schemas.openxmlformats.org/officeDocument/2006/relationships" xmlns:w="http://schemas.openxmlformats.org/wordprocessingml/2006/main">
  <w:divs>
    <w:div w:id="62338917">
      <w:bodyDiv w:val="1"/>
      <w:marLeft w:val="0"/>
      <w:marRight w:val="0"/>
      <w:marTop w:val="0"/>
      <w:marBottom w:val="0"/>
      <w:divBdr>
        <w:top w:val="none" w:sz="0" w:space="0" w:color="auto"/>
        <w:left w:val="none" w:sz="0" w:space="0" w:color="auto"/>
        <w:bottom w:val="none" w:sz="0" w:space="0" w:color="auto"/>
        <w:right w:val="none" w:sz="0" w:space="0" w:color="auto"/>
      </w:divBdr>
      <w:divsChild>
        <w:div w:id="652105340">
          <w:marLeft w:val="0"/>
          <w:marRight w:val="0"/>
          <w:marTop w:val="0"/>
          <w:marBottom w:val="0"/>
          <w:divBdr>
            <w:top w:val="none" w:sz="0" w:space="0" w:color="auto"/>
            <w:left w:val="none" w:sz="0" w:space="0" w:color="auto"/>
            <w:bottom w:val="none" w:sz="0" w:space="0" w:color="auto"/>
            <w:right w:val="none" w:sz="0" w:space="0" w:color="auto"/>
          </w:divBdr>
          <w:divsChild>
            <w:div w:id="1814520366">
              <w:marLeft w:val="0"/>
              <w:marRight w:val="0"/>
              <w:marTop w:val="0"/>
              <w:marBottom w:val="0"/>
              <w:divBdr>
                <w:top w:val="none" w:sz="0" w:space="0" w:color="auto"/>
                <w:left w:val="none" w:sz="0" w:space="0" w:color="auto"/>
                <w:bottom w:val="none" w:sz="0" w:space="0" w:color="auto"/>
                <w:right w:val="none" w:sz="0" w:space="0" w:color="auto"/>
              </w:divBdr>
              <w:divsChild>
                <w:div w:id="733242755">
                  <w:marLeft w:val="0"/>
                  <w:marRight w:val="0"/>
                  <w:marTop w:val="0"/>
                  <w:marBottom w:val="0"/>
                  <w:divBdr>
                    <w:top w:val="none" w:sz="0" w:space="0" w:color="auto"/>
                    <w:left w:val="none" w:sz="0" w:space="0" w:color="auto"/>
                    <w:bottom w:val="none" w:sz="0" w:space="0" w:color="auto"/>
                    <w:right w:val="none" w:sz="0" w:space="0" w:color="auto"/>
                  </w:divBdr>
                </w:div>
                <w:div w:id="181968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34302">
      <w:bodyDiv w:val="1"/>
      <w:marLeft w:val="0"/>
      <w:marRight w:val="0"/>
      <w:marTop w:val="0"/>
      <w:marBottom w:val="0"/>
      <w:divBdr>
        <w:top w:val="none" w:sz="0" w:space="0" w:color="auto"/>
        <w:left w:val="none" w:sz="0" w:space="0" w:color="auto"/>
        <w:bottom w:val="none" w:sz="0" w:space="0" w:color="auto"/>
        <w:right w:val="none" w:sz="0" w:space="0" w:color="auto"/>
      </w:divBdr>
      <w:divsChild>
        <w:div w:id="1942905767">
          <w:marLeft w:val="0"/>
          <w:marRight w:val="0"/>
          <w:marTop w:val="0"/>
          <w:marBottom w:val="0"/>
          <w:divBdr>
            <w:top w:val="none" w:sz="0" w:space="0" w:color="auto"/>
            <w:left w:val="none" w:sz="0" w:space="0" w:color="auto"/>
            <w:bottom w:val="none" w:sz="0" w:space="0" w:color="auto"/>
            <w:right w:val="none" w:sz="0" w:space="0" w:color="auto"/>
          </w:divBdr>
          <w:divsChild>
            <w:div w:id="1217594484">
              <w:marLeft w:val="0"/>
              <w:marRight w:val="0"/>
              <w:marTop w:val="0"/>
              <w:marBottom w:val="0"/>
              <w:divBdr>
                <w:top w:val="none" w:sz="0" w:space="0" w:color="auto"/>
                <w:left w:val="none" w:sz="0" w:space="0" w:color="auto"/>
                <w:bottom w:val="none" w:sz="0" w:space="0" w:color="auto"/>
                <w:right w:val="none" w:sz="0" w:space="0" w:color="auto"/>
              </w:divBdr>
              <w:divsChild>
                <w:div w:id="1426000972">
                  <w:marLeft w:val="0"/>
                  <w:marRight w:val="0"/>
                  <w:marTop w:val="0"/>
                  <w:marBottom w:val="0"/>
                  <w:divBdr>
                    <w:top w:val="none" w:sz="0" w:space="0" w:color="auto"/>
                    <w:left w:val="none" w:sz="0" w:space="0" w:color="auto"/>
                    <w:bottom w:val="none" w:sz="0" w:space="0" w:color="auto"/>
                    <w:right w:val="none" w:sz="0" w:space="0" w:color="auto"/>
                  </w:divBdr>
                </w:div>
              </w:divsChild>
            </w:div>
            <w:div w:id="322271698">
              <w:marLeft w:val="0"/>
              <w:marRight w:val="0"/>
              <w:marTop w:val="0"/>
              <w:marBottom w:val="0"/>
              <w:divBdr>
                <w:top w:val="none" w:sz="0" w:space="0" w:color="auto"/>
                <w:left w:val="none" w:sz="0" w:space="0" w:color="auto"/>
                <w:bottom w:val="none" w:sz="0" w:space="0" w:color="auto"/>
                <w:right w:val="none" w:sz="0" w:space="0" w:color="auto"/>
              </w:divBdr>
              <w:divsChild>
                <w:div w:id="1568685937">
                  <w:marLeft w:val="0"/>
                  <w:marRight w:val="0"/>
                  <w:marTop w:val="0"/>
                  <w:marBottom w:val="0"/>
                  <w:divBdr>
                    <w:top w:val="none" w:sz="0" w:space="0" w:color="auto"/>
                    <w:left w:val="none" w:sz="0" w:space="0" w:color="auto"/>
                    <w:bottom w:val="none" w:sz="0" w:space="0" w:color="auto"/>
                    <w:right w:val="none" w:sz="0" w:space="0" w:color="auto"/>
                  </w:divBdr>
                </w:div>
                <w:div w:id="1965884680">
                  <w:marLeft w:val="0"/>
                  <w:marRight w:val="0"/>
                  <w:marTop w:val="0"/>
                  <w:marBottom w:val="0"/>
                  <w:divBdr>
                    <w:top w:val="none" w:sz="0" w:space="0" w:color="auto"/>
                    <w:left w:val="none" w:sz="0" w:space="0" w:color="auto"/>
                    <w:bottom w:val="none" w:sz="0" w:space="0" w:color="auto"/>
                    <w:right w:val="none" w:sz="0" w:space="0" w:color="auto"/>
                  </w:divBdr>
                </w:div>
                <w:div w:id="318266903">
                  <w:marLeft w:val="0"/>
                  <w:marRight w:val="0"/>
                  <w:marTop w:val="0"/>
                  <w:marBottom w:val="0"/>
                  <w:divBdr>
                    <w:top w:val="none" w:sz="0" w:space="0" w:color="auto"/>
                    <w:left w:val="none" w:sz="0" w:space="0" w:color="auto"/>
                    <w:bottom w:val="none" w:sz="0" w:space="0" w:color="auto"/>
                    <w:right w:val="none" w:sz="0" w:space="0" w:color="auto"/>
                  </w:divBdr>
                </w:div>
                <w:div w:id="1036202293">
                  <w:marLeft w:val="0"/>
                  <w:marRight w:val="0"/>
                  <w:marTop w:val="0"/>
                  <w:marBottom w:val="0"/>
                  <w:divBdr>
                    <w:top w:val="none" w:sz="0" w:space="0" w:color="auto"/>
                    <w:left w:val="none" w:sz="0" w:space="0" w:color="auto"/>
                    <w:bottom w:val="none" w:sz="0" w:space="0" w:color="auto"/>
                    <w:right w:val="none" w:sz="0" w:space="0" w:color="auto"/>
                  </w:divBdr>
                </w:div>
                <w:div w:id="1270157467">
                  <w:marLeft w:val="0"/>
                  <w:marRight w:val="0"/>
                  <w:marTop w:val="0"/>
                  <w:marBottom w:val="0"/>
                  <w:divBdr>
                    <w:top w:val="none" w:sz="0" w:space="0" w:color="auto"/>
                    <w:left w:val="none" w:sz="0" w:space="0" w:color="auto"/>
                    <w:bottom w:val="none" w:sz="0" w:space="0" w:color="auto"/>
                    <w:right w:val="none" w:sz="0" w:space="0" w:color="auto"/>
                  </w:divBdr>
                </w:div>
              </w:divsChild>
            </w:div>
            <w:div w:id="1736584745">
              <w:marLeft w:val="0"/>
              <w:marRight w:val="0"/>
              <w:marTop w:val="0"/>
              <w:marBottom w:val="0"/>
              <w:divBdr>
                <w:top w:val="none" w:sz="0" w:space="0" w:color="auto"/>
                <w:left w:val="none" w:sz="0" w:space="0" w:color="auto"/>
                <w:bottom w:val="none" w:sz="0" w:space="0" w:color="auto"/>
                <w:right w:val="none" w:sz="0" w:space="0" w:color="auto"/>
              </w:divBdr>
              <w:divsChild>
                <w:div w:id="474493691">
                  <w:marLeft w:val="0"/>
                  <w:marRight w:val="0"/>
                  <w:marTop w:val="0"/>
                  <w:marBottom w:val="0"/>
                  <w:divBdr>
                    <w:top w:val="none" w:sz="0" w:space="0" w:color="auto"/>
                    <w:left w:val="none" w:sz="0" w:space="0" w:color="auto"/>
                    <w:bottom w:val="none" w:sz="0" w:space="0" w:color="auto"/>
                    <w:right w:val="none" w:sz="0" w:space="0" w:color="auto"/>
                  </w:divBdr>
                </w:div>
              </w:divsChild>
            </w:div>
            <w:div w:id="1036084411">
              <w:marLeft w:val="0"/>
              <w:marRight w:val="0"/>
              <w:marTop w:val="0"/>
              <w:marBottom w:val="0"/>
              <w:divBdr>
                <w:top w:val="none" w:sz="0" w:space="0" w:color="auto"/>
                <w:left w:val="none" w:sz="0" w:space="0" w:color="auto"/>
                <w:bottom w:val="none" w:sz="0" w:space="0" w:color="auto"/>
                <w:right w:val="none" w:sz="0" w:space="0" w:color="auto"/>
              </w:divBdr>
              <w:divsChild>
                <w:div w:id="1898204197">
                  <w:marLeft w:val="0"/>
                  <w:marRight w:val="0"/>
                  <w:marTop w:val="0"/>
                  <w:marBottom w:val="0"/>
                  <w:divBdr>
                    <w:top w:val="none" w:sz="0" w:space="0" w:color="auto"/>
                    <w:left w:val="none" w:sz="0" w:space="0" w:color="auto"/>
                    <w:bottom w:val="none" w:sz="0" w:space="0" w:color="auto"/>
                    <w:right w:val="none" w:sz="0" w:space="0" w:color="auto"/>
                  </w:divBdr>
                </w:div>
                <w:div w:id="1036352567">
                  <w:marLeft w:val="0"/>
                  <w:marRight w:val="0"/>
                  <w:marTop w:val="0"/>
                  <w:marBottom w:val="0"/>
                  <w:divBdr>
                    <w:top w:val="none" w:sz="0" w:space="0" w:color="auto"/>
                    <w:left w:val="none" w:sz="0" w:space="0" w:color="auto"/>
                    <w:bottom w:val="none" w:sz="0" w:space="0" w:color="auto"/>
                    <w:right w:val="none" w:sz="0" w:space="0" w:color="auto"/>
                  </w:divBdr>
                </w:div>
                <w:div w:id="71857800">
                  <w:marLeft w:val="0"/>
                  <w:marRight w:val="0"/>
                  <w:marTop w:val="0"/>
                  <w:marBottom w:val="0"/>
                  <w:divBdr>
                    <w:top w:val="none" w:sz="0" w:space="0" w:color="auto"/>
                    <w:left w:val="none" w:sz="0" w:space="0" w:color="auto"/>
                    <w:bottom w:val="none" w:sz="0" w:space="0" w:color="auto"/>
                    <w:right w:val="none" w:sz="0" w:space="0" w:color="auto"/>
                  </w:divBdr>
                </w:div>
                <w:div w:id="2052530704">
                  <w:marLeft w:val="0"/>
                  <w:marRight w:val="0"/>
                  <w:marTop w:val="0"/>
                  <w:marBottom w:val="0"/>
                  <w:divBdr>
                    <w:top w:val="none" w:sz="0" w:space="0" w:color="auto"/>
                    <w:left w:val="none" w:sz="0" w:space="0" w:color="auto"/>
                    <w:bottom w:val="none" w:sz="0" w:space="0" w:color="auto"/>
                    <w:right w:val="none" w:sz="0" w:space="0" w:color="auto"/>
                  </w:divBdr>
                </w:div>
                <w:div w:id="1338925234">
                  <w:marLeft w:val="0"/>
                  <w:marRight w:val="0"/>
                  <w:marTop w:val="0"/>
                  <w:marBottom w:val="0"/>
                  <w:divBdr>
                    <w:top w:val="none" w:sz="0" w:space="0" w:color="auto"/>
                    <w:left w:val="none" w:sz="0" w:space="0" w:color="auto"/>
                    <w:bottom w:val="none" w:sz="0" w:space="0" w:color="auto"/>
                    <w:right w:val="none" w:sz="0" w:space="0" w:color="auto"/>
                  </w:divBdr>
                </w:div>
              </w:divsChild>
            </w:div>
            <w:div w:id="1956014603">
              <w:marLeft w:val="0"/>
              <w:marRight w:val="0"/>
              <w:marTop w:val="0"/>
              <w:marBottom w:val="0"/>
              <w:divBdr>
                <w:top w:val="none" w:sz="0" w:space="0" w:color="auto"/>
                <w:left w:val="none" w:sz="0" w:space="0" w:color="auto"/>
                <w:bottom w:val="none" w:sz="0" w:space="0" w:color="auto"/>
                <w:right w:val="none" w:sz="0" w:space="0" w:color="auto"/>
              </w:divBdr>
              <w:divsChild>
                <w:div w:id="1919052240">
                  <w:marLeft w:val="0"/>
                  <w:marRight w:val="0"/>
                  <w:marTop w:val="0"/>
                  <w:marBottom w:val="0"/>
                  <w:divBdr>
                    <w:top w:val="none" w:sz="0" w:space="0" w:color="auto"/>
                    <w:left w:val="none" w:sz="0" w:space="0" w:color="auto"/>
                    <w:bottom w:val="none" w:sz="0" w:space="0" w:color="auto"/>
                    <w:right w:val="none" w:sz="0" w:space="0" w:color="auto"/>
                  </w:divBdr>
                </w:div>
              </w:divsChild>
            </w:div>
            <w:div w:id="1587155777">
              <w:marLeft w:val="0"/>
              <w:marRight w:val="0"/>
              <w:marTop w:val="0"/>
              <w:marBottom w:val="0"/>
              <w:divBdr>
                <w:top w:val="none" w:sz="0" w:space="0" w:color="auto"/>
                <w:left w:val="none" w:sz="0" w:space="0" w:color="auto"/>
                <w:bottom w:val="none" w:sz="0" w:space="0" w:color="auto"/>
                <w:right w:val="none" w:sz="0" w:space="0" w:color="auto"/>
              </w:divBdr>
              <w:divsChild>
                <w:div w:id="1652245751">
                  <w:marLeft w:val="0"/>
                  <w:marRight w:val="0"/>
                  <w:marTop w:val="0"/>
                  <w:marBottom w:val="0"/>
                  <w:divBdr>
                    <w:top w:val="none" w:sz="0" w:space="0" w:color="auto"/>
                    <w:left w:val="none" w:sz="0" w:space="0" w:color="auto"/>
                    <w:bottom w:val="none" w:sz="0" w:space="0" w:color="auto"/>
                    <w:right w:val="none" w:sz="0" w:space="0" w:color="auto"/>
                  </w:divBdr>
                </w:div>
                <w:div w:id="1732079182">
                  <w:marLeft w:val="0"/>
                  <w:marRight w:val="0"/>
                  <w:marTop w:val="0"/>
                  <w:marBottom w:val="0"/>
                  <w:divBdr>
                    <w:top w:val="none" w:sz="0" w:space="0" w:color="auto"/>
                    <w:left w:val="none" w:sz="0" w:space="0" w:color="auto"/>
                    <w:bottom w:val="none" w:sz="0" w:space="0" w:color="auto"/>
                    <w:right w:val="none" w:sz="0" w:space="0" w:color="auto"/>
                  </w:divBdr>
                </w:div>
              </w:divsChild>
            </w:div>
            <w:div w:id="830372978">
              <w:marLeft w:val="0"/>
              <w:marRight w:val="0"/>
              <w:marTop w:val="0"/>
              <w:marBottom w:val="0"/>
              <w:divBdr>
                <w:top w:val="none" w:sz="0" w:space="0" w:color="auto"/>
                <w:left w:val="none" w:sz="0" w:space="0" w:color="auto"/>
                <w:bottom w:val="none" w:sz="0" w:space="0" w:color="auto"/>
                <w:right w:val="none" w:sz="0" w:space="0" w:color="auto"/>
              </w:divBdr>
              <w:divsChild>
                <w:div w:id="1128011699">
                  <w:marLeft w:val="0"/>
                  <w:marRight w:val="0"/>
                  <w:marTop w:val="0"/>
                  <w:marBottom w:val="0"/>
                  <w:divBdr>
                    <w:top w:val="none" w:sz="0" w:space="0" w:color="auto"/>
                    <w:left w:val="none" w:sz="0" w:space="0" w:color="auto"/>
                    <w:bottom w:val="none" w:sz="0" w:space="0" w:color="auto"/>
                    <w:right w:val="none" w:sz="0" w:space="0" w:color="auto"/>
                  </w:divBdr>
                </w:div>
              </w:divsChild>
            </w:div>
            <w:div w:id="1579095397">
              <w:marLeft w:val="0"/>
              <w:marRight w:val="0"/>
              <w:marTop w:val="0"/>
              <w:marBottom w:val="0"/>
              <w:divBdr>
                <w:top w:val="none" w:sz="0" w:space="0" w:color="auto"/>
                <w:left w:val="none" w:sz="0" w:space="0" w:color="auto"/>
                <w:bottom w:val="none" w:sz="0" w:space="0" w:color="auto"/>
                <w:right w:val="none" w:sz="0" w:space="0" w:color="auto"/>
              </w:divBdr>
              <w:divsChild>
                <w:div w:id="1207109315">
                  <w:marLeft w:val="0"/>
                  <w:marRight w:val="0"/>
                  <w:marTop w:val="0"/>
                  <w:marBottom w:val="0"/>
                  <w:divBdr>
                    <w:top w:val="none" w:sz="0" w:space="0" w:color="auto"/>
                    <w:left w:val="none" w:sz="0" w:space="0" w:color="auto"/>
                    <w:bottom w:val="none" w:sz="0" w:space="0" w:color="auto"/>
                    <w:right w:val="none" w:sz="0" w:space="0" w:color="auto"/>
                  </w:divBdr>
                </w:div>
              </w:divsChild>
            </w:div>
            <w:div w:id="1112748827">
              <w:marLeft w:val="0"/>
              <w:marRight w:val="0"/>
              <w:marTop w:val="0"/>
              <w:marBottom w:val="0"/>
              <w:divBdr>
                <w:top w:val="none" w:sz="0" w:space="0" w:color="auto"/>
                <w:left w:val="none" w:sz="0" w:space="0" w:color="auto"/>
                <w:bottom w:val="none" w:sz="0" w:space="0" w:color="auto"/>
                <w:right w:val="none" w:sz="0" w:space="0" w:color="auto"/>
              </w:divBdr>
              <w:divsChild>
                <w:div w:id="1466387623">
                  <w:marLeft w:val="0"/>
                  <w:marRight w:val="0"/>
                  <w:marTop w:val="0"/>
                  <w:marBottom w:val="0"/>
                  <w:divBdr>
                    <w:top w:val="none" w:sz="0" w:space="0" w:color="auto"/>
                    <w:left w:val="none" w:sz="0" w:space="0" w:color="auto"/>
                    <w:bottom w:val="none" w:sz="0" w:space="0" w:color="auto"/>
                    <w:right w:val="none" w:sz="0" w:space="0" w:color="auto"/>
                  </w:divBdr>
                </w:div>
              </w:divsChild>
            </w:div>
            <w:div w:id="903225132">
              <w:marLeft w:val="0"/>
              <w:marRight w:val="0"/>
              <w:marTop w:val="0"/>
              <w:marBottom w:val="0"/>
              <w:divBdr>
                <w:top w:val="none" w:sz="0" w:space="0" w:color="auto"/>
                <w:left w:val="none" w:sz="0" w:space="0" w:color="auto"/>
                <w:bottom w:val="none" w:sz="0" w:space="0" w:color="auto"/>
                <w:right w:val="none" w:sz="0" w:space="0" w:color="auto"/>
              </w:divBdr>
              <w:divsChild>
                <w:div w:id="43104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786425">
          <w:marLeft w:val="0"/>
          <w:marRight w:val="0"/>
          <w:marTop w:val="0"/>
          <w:marBottom w:val="0"/>
          <w:divBdr>
            <w:top w:val="none" w:sz="0" w:space="0" w:color="auto"/>
            <w:left w:val="none" w:sz="0" w:space="0" w:color="auto"/>
            <w:bottom w:val="none" w:sz="0" w:space="0" w:color="auto"/>
            <w:right w:val="none" w:sz="0" w:space="0" w:color="auto"/>
          </w:divBdr>
          <w:divsChild>
            <w:div w:id="2003969814">
              <w:marLeft w:val="0"/>
              <w:marRight w:val="0"/>
              <w:marTop w:val="0"/>
              <w:marBottom w:val="0"/>
              <w:divBdr>
                <w:top w:val="none" w:sz="0" w:space="0" w:color="auto"/>
                <w:left w:val="none" w:sz="0" w:space="0" w:color="auto"/>
                <w:bottom w:val="none" w:sz="0" w:space="0" w:color="auto"/>
                <w:right w:val="none" w:sz="0" w:space="0" w:color="auto"/>
              </w:divBdr>
              <w:divsChild>
                <w:div w:id="1248149415">
                  <w:marLeft w:val="0"/>
                  <w:marRight w:val="0"/>
                  <w:marTop w:val="0"/>
                  <w:marBottom w:val="0"/>
                  <w:divBdr>
                    <w:top w:val="none" w:sz="0" w:space="0" w:color="auto"/>
                    <w:left w:val="none" w:sz="0" w:space="0" w:color="auto"/>
                    <w:bottom w:val="none" w:sz="0" w:space="0" w:color="auto"/>
                    <w:right w:val="none" w:sz="0" w:space="0" w:color="auto"/>
                  </w:divBdr>
                </w:div>
              </w:divsChild>
            </w:div>
            <w:div w:id="497812107">
              <w:marLeft w:val="0"/>
              <w:marRight w:val="0"/>
              <w:marTop w:val="0"/>
              <w:marBottom w:val="0"/>
              <w:divBdr>
                <w:top w:val="none" w:sz="0" w:space="0" w:color="auto"/>
                <w:left w:val="none" w:sz="0" w:space="0" w:color="auto"/>
                <w:bottom w:val="none" w:sz="0" w:space="0" w:color="auto"/>
                <w:right w:val="none" w:sz="0" w:space="0" w:color="auto"/>
              </w:divBdr>
              <w:divsChild>
                <w:div w:id="2120369569">
                  <w:marLeft w:val="0"/>
                  <w:marRight w:val="0"/>
                  <w:marTop w:val="0"/>
                  <w:marBottom w:val="0"/>
                  <w:divBdr>
                    <w:top w:val="none" w:sz="0" w:space="0" w:color="auto"/>
                    <w:left w:val="none" w:sz="0" w:space="0" w:color="auto"/>
                    <w:bottom w:val="none" w:sz="0" w:space="0" w:color="auto"/>
                    <w:right w:val="none" w:sz="0" w:space="0" w:color="auto"/>
                  </w:divBdr>
                </w:div>
                <w:div w:id="1550410458">
                  <w:marLeft w:val="0"/>
                  <w:marRight w:val="0"/>
                  <w:marTop w:val="0"/>
                  <w:marBottom w:val="0"/>
                  <w:divBdr>
                    <w:top w:val="none" w:sz="0" w:space="0" w:color="auto"/>
                    <w:left w:val="none" w:sz="0" w:space="0" w:color="auto"/>
                    <w:bottom w:val="none" w:sz="0" w:space="0" w:color="auto"/>
                    <w:right w:val="none" w:sz="0" w:space="0" w:color="auto"/>
                  </w:divBdr>
                </w:div>
                <w:div w:id="1916931561">
                  <w:marLeft w:val="0"/>
                  <w:marRight w:val="0"/>
                  <w:marTop w:val="0"/>
                  <w:marBottom w:val="0"/>
                  <w:divBdr>
                    <w:top w:val="none" w:sz="0" w:space="0" w:color="auto"/>
                    <w:left w:val="none" w:sz="0" w:space="0" w:color="auto"/>
                    <w:bottom w:val="none" w:sz="0" w:space="0" w:color="auto"/>
                    <w:right w:val="none" w:sz="0" w:space="0" w:color="auto"/>
                  </w:divBdr>
                </w:div>
              </w:divsChild>
            </w:div>
            <w:div w:id="760374156">
              <w:marLeft w:val="0"/>
              <w:marRight w:val="0"/>
              <w:marTop w:val="0"/>
              <w:marBottom w:val="0"/>
              <w:divBdr>
                <w:top w:val="none" w:sz="0" w:space="0" w:color="auto"/>
                <w:left w:val="none" w:sz="0" w:space="0" w:color="auto"/>
                <w:bottom w:val="none" w:sz="0" w:space="0" w:color="auto"/>
                <w:right w:val="none" w:sz="0" w:space="0" w:color="auto"/>
              </w:divBdr>
              <w:divsChild>
                <w:div w:id="43779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14297">
          <w:marLeft w:val="0"/>
          <w:marRight w:val="0"/>
          <w:marTop w:val="0"/>
          <w:marBottom w:val="0"/>
          <w:divBdr>
            <w:top w:val="none" w:sz="0" w:space="0" w:color="auto"/>
            <w:left w:val="none" w:sz="0" w:space="0" w:color="auto"/>
            <w:bottom w:val="none" w:sz="0" w:space="0" w:color="auto"/>
            <w:right w:val="none" w:sz="0" w:space="0" w:color="auto"/>
          </w:divBdr>
          <w:divsChild>
            <w:div w:id="1809008550">
              <w:marLeft w:val="0"/>
              <w:marRight w:val="0"/>
              <w:marTop w:val="0"/>
              <w:marBottom w:val="0"/>
              <w:divBdr>
                <w:top w:val="none" w:sz="0" w:space="0" w:color="auto"/>
                <w:left w:val="none" w:sz="0" w:space="0" w:color="auto"/>
                <w:bottom w:val="none" w:sz="0" w:space="0" w:color="auto"/>
                <w:right w:val="none" w:sz="0" w:space="0" w:color="auto"/>
              </w:divBdr>
              <w:divsChild>
                <w:div w:id="513232298">
                  <w:marLeft w:val="0"/>
                  <w:marRight w:val="0"/>
                  <w:marTop w:val="0"/>
                  <w:marBottom w:val="0"/>
                  <w:divBdr>
                    <w:top w:val="none" w:sz="0" w:space="0" w:color="auto"/>
                    <w:left w:val="none" w:sz="0" w:space="0" w:color="auto"/>
                    <w:bottom w:val="none" w:sz="0" w:space="0" w:color="auto"/>
                    <w:right w:val="none" w:sz="0" w:space="0" w:color="auto"/>
                  </w:divBdr>
                </w:div>
                <w:div w:id="479464394">
                  <w:marLeft w:val="0"/>
                  <w:marRight w:val="0"/>
                  <w:marTop w:val="0"/>
                  <w:marBottom w:val="0"/>
                  <w:divBdr>
                    <w:top w:val="none" w:sz="0" w:space="0" w:color="auto"/>
                    <w:left w:val="none" w:sz="0" w:space="0" w:color="auto"/>
                    <w:bottom w:val="none" w:sz="0" w:space="0" w:color="auto"/>
                    <w:right w:val="none" w:sz="0" w:space="0" w:color="auto"/>
                  </w:divBdr>
                </w:div>
                <w:div w:id="1257442304">
                  <w:marLeft w:val="0"/>
                  <w:marRight w:val="0"/>
                  <w:marTop w:val="0"/>
                  <w:marBottom w:val="0"/>
                  <w:divBdr>
                    <w:top w:val="none" w:sz="0" w:space="0" w:color="auto"/>
                    <w:left w:val="none" w:sz="0" w:space="0" w:color="auto"/>
                    <w:bottom w:val="none" w:sz="0" w:space="0" w:color="auto"/>
                    <w:right w:val="none" w:sz="0" w:space="0" w:color="auto"/>
                  </w:divBdr>
                </w:div>
              </w:divsChild>
            </w:div>
            <w:div w:id="364251347">
              <w:marLeft w:val="0"/>
              <w:marRight w:val="0"/>
              <w:marTop w:val="0"/>
              <w:marBottom w:val="0"/>
              <w:divBdr>
                <w:top w:val="none" w:sz="0" w:space="0" w:color="auto"/>
                <w:left w:val="none" w:sz="0" w:space="0" w:color="auto"/>
                <w:bottom w:val="none" w:sz="0" w:space="0" w:color="auto"/>
                <w:right w:val="none" w:sz="0" w:space="0" w:color="auto"/>
              </w:divBdr>
              <w:divsChild>
                <w:div w:id="193593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112232">
      <w:bodyDiv w:val="1"/>
      <w:marLeft w:val="0"/>
      <w:marRight w:val="0"/>
      <w:marTop w:val="0"/>
      <w:marBottom w:val="0"/>
      <w:divBdr>
        <w:top w:val="none" w:sz="0" w:space="0" w:color="auto"/>
        <w:left w:val="none" w:sz="0" w:space="0" w:color="auto"/>
        <w:bottom w:val="none" w:sz="0" w:space="0" w:color="auto"/>
        <w:right w:val="none" w:sz="0" w:space="0" w:color="auto"/>
      </w:divBdr>
      <w:divsChild>
        <w:div w:id="871840899">
          <w:marLeft w:val="0"/>
          <w:marRight w:val="0"/>
          <w:marTop w:val="0"/>
          <w:marBottom w:val="0"/>
          <w:divBdr>
            <w:top w:val="none" w:sz="0" w:space="0" w:color="auto"/>
            <w:left w:val="none" w:sz="0" w:space="0" w:color="auto"/>
            <w:bottom w:val="none" w:sz="0" w:space="0" w:color="auto"/>
            <w:right w:val="none" w:sz="0" w:space="0" w:color="auto"/>
          </w:divBdr>
          <w:divsChild>
            <w:div w:id="2089421543">
              <w:marLeft w:val="0"/>
              <w:marRight w:val="0"/>
              <w:marTop w:val="0"/>
              <w:marBottom w:val="0"/>
              <w:divBdr>
                <w:top w:val="none" w:sz="0" w:space="0" w:color="auto"/>
                <w:left w:val="none" w:sz="0" w:space="0" w:color="auto"/>
                <w:bottom w:val="none" w:sz="0" w:space="0" w:color="auto"/>
                <w:right w:val="none" w:sz="0" w:space="0" w:color="auto"/>
              </w:divBdr>
              <w:divsChild>
                <w:div w:id="685135901">
                  <w:marLeft w:val="0"/>
                  <w:marRight w:val="0"/>
                  <w:marTop w:val="0"/>
                  <w:marBottom w:val="0"/>
                  <w:divBdr>
                    <w:top w:val="none" w:sz="0" w:space="0" w:color="auto"/>
                    <w:left w:val="none" w:sz="0" w:space="0" w:color="auto"/>
                    <w:bottom w:val="none" w:sz="0" w:space="0" w:color="auto"/>
                    <w:right w:val="none" w:sz="0" w:space="0" w:color="auto"/>
                  </w:divBdr>
                </w:div>
              </w:divsChild>
            </w:div>
            <w:div w:id="306933457">
              <w:marLeft w:val="0"/>
              <w:marRight w:val="0"/>
              <w:marTop w:val="0"/>
              <w:marBottom w:val="0"/>
              <w:divBdr>
                <w:top w:val="none" w:sz="0" w:space="0" w:color="auto"/>
                <w:left w:val="none" w:sz="0" w:space="0" w:color="auto"/>
                <w:bottom w:val="none" w:sz="0" w:space="0" w:color="auto"/>
                <w:right w:val="none" w:sz="0" w:space="0" w:color="auto"/>
              </w:divBdr>
              <w:divsChild>
                <w:div w:id="1527020549">
                  <w:marLeft w:val="0"/>
                  <w:marRight w:val="0"/>
                  <w:marTop w:val="0"/>
                  <w:marBottom w:val="0"/>
                  <w:divBdr>
                    <w:top w:val="none" w:sz="0" w:space="0" w:color="auto"/>
                    <w:left w:val="none" w:sz="0" w:space="0" w:color="auto"/>
                    <w:bottom w:val="none" w:sz="0" w:space="0" w:color="auto"/>
                    <w:right w:val="none" w:sz="0" w:space="0" w:color="auto"/>
                  </w:divBdr>
                </w:div>
                <w:div w:id="2117172102">
                  <w:marLeft w:val="0"/>
                  <w:marRight w:val="0"/>
                  <w:marTop w:val="0"/>
                  <w:marBottom w:val="0"/>
                  <w:divBdr>
                    <w:top w:val="none" w:sz="0" w:space="0" w:color="auto"/>
                    <w:left w:val="none" w:sz="0" w:space="0" w:color="auto"/>
                    <w:bottom w:val="none" w:sz="0" w:space="0" w:color="auto"/>
                    <w:right w:val="none" w:sz="0" w:space="0" w:color="auto"/>
                  </w:divBdr>
                </w:div>
                <w:div w:id="2036809166">
                  <w:marLeft w:val="0"/>
                  <w:marRight w:val="0"/>
                  <w:marTop w:val="0"/>
                  <w:marBottom w:val="0"/>
                  <w:divBdr>
                    <w:top w:val="none" w:sz="0" w:space="0" w:color="auto"/>
                    <w:left w:val="none" w:sz="0" w:space="0" w:color="auto"/>
                    <w:bottom w:val="none" w:sz="0" w:space="0" w:color="auto"/>
                    <w:right w:val="none" w:sz="0" w:space="0" w:color="auto"/>
                  </w:divBdr>
                </w:div>
                <w:div w:id="400300821">
                  <w:marLeft w:val="0"/>
                  <w:marRight w:val="0"/>
                  <w:marTop w:val="0"/>
                  <w:marBottom w:val="0"/>
                  <w:divBdr>
                    <w:top w:val="none" w:sz="0" w:space="0" w:color="auto"/>
                    <w:left w:val="none" w:sz="0" w:space="0" w:color="auto"/>
                    <w:bottom w:val="none" w:sz="0" w:space="0" w:color="auto"/>
                    <w:right w:val="none" w:sz="0" w:space="0" w:color="auto"/>
                  </w:divBdr>
                </w:div>
              </w:divsChild>
            </w:div>
            <w:div w:id="609439718">
              <w:marLeft w:val="0"/>
              <w:marRight w:val="0"/>
              <w:marTop w:val="0"/>
              <w:marBottom w:val="0"/>
              <w:divBdr>
                <w:top w:val="none" w:sz="0" w:space="0" w:color="auto"/>
                <w:left w:val="none" w:sz="0" w:space="0" w:color="auto"/>
                <w:bottom w:val="none" w:sz="0" w:space="0" w:color="auto"/>
                <w:right w:val="none" w:sz="0" w:space="0" w:color="auto"/>
              </w:divBdr>
              <w:divsChild>
                <w:div w:id="1730492234">
                  <w:marLeft w:val="0"/>
                  <w:marRight w:val="0"/>
                  <w:marTop w:val="0"/>
                  <w:marBottom w:val="0"/>
                  <w:divBdr>
                    <w:top w:val="none" w:sz="0" w:space="0" w:color="auto"/>
                    <w:left w:val="none" w:sz="0" w:space="0" w:color="auto"/>
                    <w:bottom w:val="none" w:sz="0" w:space="0" w:color="auto"/>
                    <w:right w:val="none" w:sz="0" w:space="0" w:color="auto"/>
                  </w:divBdr>
                </w:div>
              </w:divsChild>
            </w:div>
            <w:div w:id="82604245">
              <w:marLeft w:val="0"/>
              <w:marRight w:val="0"/>
              <w:marTop w:val="0"/>
              <w:marBottom w:val="0"/>
              <w:divBdr>
                <w:top w:val="none" w:sz="0" w:space="0" w:color="auto"/>
                <w:left w:val="none" w:sz="0" w:space="0" w:color="auto"/>
                <w:bottom w:val="none" w:sz="0" w:space="0" w:color="auto"/>
                <w:right w:val="none" w:sz="0" w:space="0" w:color="auto"/>
              </w:divBdr>
              <w:divsChild>
                <w:div w:id="125832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575430">
      <w:bodyDiv w:val="1"/>
      <w:marLeft w:val="0"/>
      <w:marRight w:val="0"/>
      <w:marTop w:val="0"/>
      <w:marBottom w:val="0"/>
      <w:divBdr>
        <w:top w:val="none" w:sz="0" w:space="0" w:color="auto"/>
        <w:left w:val="none" w:sz="0" w:space="0" w:color="auto"/>
        <w:bottom w:val="none" w:sz="0" w:space="0" w:color="auto"/>
        <w:right w:val="none" w:sz="0" w:space="0" w:color="auto"/>
      </w:divBdr>
      <w:divsChild>
        <w:div w:id="1096439839">
          <w:marLeft w:val="0"/>
          <w:marRight w:val="0"/>
          <w:marTop w:val="0"/>
          <w:marBottom w:val="0"/>
          <w:divBdr>
            <w:top w:val="none" w:sz="0" w:space="0" w:color="auto"/>
            <w:left w:val="none" w:sz="0" w:space="0" w:color="auto"/>
            <w:bottom w:val="none" w:sz="0" w:space="0" w:color="auto"/>
            <w:right w:val="none" w:sz="0" w:space="0" w:color="auto"/>
          </w:divBdr>
          <w:divsChild>
            <w:div w:id="1643656507">
              <w:marLeft w:val="0"/>
              <w:marRight w:val="0"/>
              <w:marTop w:val="0"/>
              <w:marBottom w:val="0"/>
              <w:divBdr>
                <w:top w:val="none" w:sz="0" w:space="0" w:color="auto"/>
                <w:left w:val="none" w:sz="0" w:space="0" w:color="auto"/>
                <w:bottom w:val="none" w:sz="0" w:space="0" w:color="auto"/>
                <w:right w:val="none" w:sz="0" w:space="0" w:color="auto"/>
              </w:divBdr>
              <w:divsChild>
                <w:div w:id="4719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714061">
      <w:bodyDiv w:val="1"/>
      <w:marLeft w:val="0"/>
      <w:marRight w:val="0"/>
      <w:marTop w:val="0"/>
      <w:marBottom w:val="0"/>
      <w:divBdr>
        <w:top w:val="none" w:sz="0" w:space="0" w:color="auto"/>
        <w:left w:val="none" w:sz="0" w:space="0" w:color="auto"/>
        <w:bottom w:val="none" w:sz="0" w:space="0" w:color="auto"/>
        <w:right w:val="none" w:sz="0" w:space="0" w:color="auto"/>
      </w:divBdr>
      <w:divsChild>
        <w:div w:id="1298413957">
          <w:marLeft w:val="0"/>
          <w:marRight w:val="0"/>
          <w:marTop w:val="0"/>
          <w:marBottom w:val="360"/>
          <w:divBdr>
            <w:top w:val="none" w:sz="0" w:space="0" w:color="auto"/>
            <w:left w:val="none" w:sz="0" w:space="0" w:color="auto"/>
            <w:bottom w:val="none" w:sz="0" w:space="0" w:color="auto"/>
            <w:right w:val="none" w:sz="0" w:space="0" w:color="auto"/>
          </w:divBdr>
        </w:div>
      </w:divsChild>
    </w:div>
    <w:div w:id="1074082368">
      <w:bodyDiv w:val="1"/>
      <w:marLeft w:val="0"/>
      <w:marRight w:val="0"/>
      <w:marTop w:val="0"/>
      <w:marBottom w:val="0"/>
      <w:divBdr>
        <w:top w:val="none" w:sz="0" w:space="0" w:color="auto"/>
        <w:left w:val="none" w:sz="0" w:space="0" w:color="auto"/>
        <w:bottom w:val="none" w:sz="0" w:space="0" w:color="auto"/>
        <w:right w:val="none" w:sz="0" w:space="0" w:color="auto"/>
      </w:divBdr>
      <w:divsChild>
        <w:div w:id="1465586137">
          <w:marLeft w:val="0"/>
          <w:marRight w:val="0"/>
          <w:marTop w:val="0"/>
          <w:marBottom w:val="0"/>
          <w:divBdr>
            <w:top w:val="none" w:sz="0" w:space="0" w:color="auto"/>
            <w:left w:val="none" w:sz="0" w:space="0" w:color="auto"/>
            <w:bottom w:val="none" w:sz="0" w:space="0" w:color="auto"/>
            <w:right w:val="none" w:sz="0" w:space="0" w:color="auto"/>
          </w:divBdr>
          <w:divsChild>
            <w:div w:id="1338343392">
              <w:marLeft w:val="0"/>
              <w:marRight w:val="0"/>
              <w:marTop w:val="0"/>
              <w:marBottom w:val="0"/>
              <w:divBdr>
                <w:top w:val="none" w:sz="0" w:space="0" w:color="auto"/>
                <w:left w:val="none" w:sz="0" w:space="0" w:color="auto"/>
                <w:bottom w:val="none" w:sz="0" w:space="0" w:color="auto"/>
                <w:right w:val="none" w:sz="0" w:space="0" w:color="auto"/>
              </w:divBdr>
              <w:divsChild>
                <w:div w:id="289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274917">
      <w:bodyDiv w:val="1"/>
      <w:marLeft w:val="0"/>
      <w:marRight w:val="0"/>
      <w:marTop w:val="0"/>
      <w:marBottom w:val="0"/>
      <w:divBdr>
        <w:top w:val="none" w:sz="0" w:space="0" w:color="auto"/>
        <w:left w:val="none" w:sz="0" w:space="0" w:color="auto"/>
        <w:bottom w:val="none" w:sz="0" w:space="0" w:color="auto"/>
        <w:right w:val="none" w:sz="0" w:space="0" w:color="auto"/>
      </w:divBdr>
      <w:divsChild>
        <w:div w:id="966394372">
          <w:marLeft w:val="0"/>
          <w:marRight w:val="0"/>
          <w:marTop w:val="0"/>
          <w:marBottom w:val="0"/>
          <w:divBdr>
            <w:top w:val="none" w:sz="0" w:space="0" w:color="auto"/>
            <w:left w:val="none" w:sz="0" w:space="0" w:color="auto"/>
            <w:bottom w:val="none" w:sz="0" w:space="0" w:color="auto"/>
            <w:right w:val="none" w:sz="0" w:space="0" w:color="auto"/>
          </w:divBdr>
          <w:divsChild>
            <w:div w:id="231357041">
              <w:marLeft w:val="0"/>
              <w:marRight w:val="0"/>
              <w:marTop w:val="0"/>
              <w:marBottom w:val="0"/>
              <w:divBdr>
                <w:top w:val="none" w:sz="0" w:space="0" w:color="auto"/>
                <w:left w:val="none" w:sz="0" w:space="0" w:color="auto"/>
                <w:bottom w:val="none" w:sz="0" w:space="0" w:color="auto"/>
                <w:right w:val="none" w:sz="0" w:space="0" w:color="auto"/>
              </w:divBdr>
              <w:divsChild>
                <w:div w:id="1796556628">
                  <w:marLeft w:val="0"/>
                  <w:marRight w:val="0"/>
                  <w:marTop w:val="0"/>
                  <w:marBottom w:val="0"/>
                  <w:divBdr>
                    <w:top w:val="none" w:sz="0" w:space="0" w:color="auto"/>
                    <w:left w:val="none" w:sz="0" w:space="0" w:color="auto"/>
                    <w:bottom w:val="none" w:sz="0" w:space="0" w:color="auto"/>
                    <w:right w:val="none" w:sz="0" w:space="0" w:color="auto"/>
                  </w:divBdr>
                </w:div>
              </w:divsChild>
            </w:div>
            <w:div w:id="77604434">
              <w:marLeft w:val="0"/>
              <w:marRight w:val="0"/>
              <w:marTop w:val="0"/>
              <w:marBottom w:val="0"/>
              <w:divBdr>
                <w:top w:val="none" w:sz="0" w:space="0" w:color="auto"/>
                <w:left w:val="none" w:sz="0" w:space="0" w:color="auto"/>
                <w:bottom w:val="none" w:sz="0" w:space="0" w:color="auto"/>
                <w:right w:val="none" w:sz="0" w:space="0" w:color="auto"/>
              </w:divBdr>
              <w:divsChild>
                <w:div w:id="60943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758841">
          <w:marLeft w:val="0"/>
          <w:marRight w:val="0"/>
          <w:marTop w:val="0"/>
          <w:marBottom w:val="0"/>
          <w:divBdr>
            <w:top w:val="none" w:sz="0" w:space="0" w:color="auto"/>
            <w:left w:val="none" w:sz="0" w:space="0" w:color="auto"/>
            <w:bottom w:val="none" w:sz="0" w:space="0" w:color="auto"/>
            <w:right w:val="none" w:sz="0" w:space="0" w:color="auto"/>
          </w:divBdr>
          <w:divsChild>
            <w:div w:id="1832795923">
              <w:marLeft w:val="0"/>
              <w:marRight w:val="0"/>
              <w:marTop w:val="0"/>
              <w:marBottom w:val="0"/>
              <w:divBdr>
                <w:top w:val="none" w:sz="0" w:space="0" w:color="auto"/>
                <w:left w:val="none" w:sz="0" w:space="0" w:color="auto"/>
                <w:bottom w:val="none" w:sz="0" w:space="0" w:color="auto"/>
                <w:right w:val="none" w:sz="0" w:space="0" w:color="auto"/>
              </w:divBdr>
              <w:divsChild>
                <w:div w:id="1734429221">
                  <w:marLeft w:val="0"/>
                  <w:marRight w:val="0"/>
                  <w:marTop w:val="0"/>
                  <w:marBottom w:val="0"/>
                  <w:divBdr>
                    <w:top w:val="none" w:sz="0" w:space="0" w:color="auto"/>
                    <w:left w:val="none" w:sz="0" w:space="0" w:color="auto"/>
                    <w:bottom w:val="none" w:sz="0" w:space="0" w:color="auto"/>
                    <w:right w:val="none" w:sz="0" w:space="0" w:color="auto"/>
                  </w:divBdr>
                </w:div>
                <w:div w:id="258562884">
                  <w:marLeft w:val="0"/>
                  <w:marRight w:val="0"/>
                  <w:marTop w:val="0"/>
                  <w:marBottom w:val="0"/>
                  <w:divBdr>
                    <w:top w:val="none" w:sz="0" w:space="0" w:color="auto"/>
                    <w:left w:val="none" w:sz="0" w:space="0" w:color="auto"/>
                    <w:bottom w:val="none" w:sz="0" w:space="0" w:color="auto"/>
                    <w:right w:val="none" w:sz="0" w:space="0" w:color="auto"/>
                  </w:divBdr>
                </w:div>
              </w:divsChild>
            </w:div>
            <w:div w:id="1602372662">
              <w:marLeft w:val="0"/>
              <w:marRight w:val="0"/>
              <w:marTop w:val="0"/>
              <w:marBottom w:val="0"/>
              <w:divBdr>
                <w:top w:val="none" w:sz="0" w:space="0" w:color="auto"/>
                <w:left w:val="none" w:sz="0" w:space="0" w:color="auto"/>
                <w:bottom w:val="none" w:sz="0" w:space="0" w:color="auto"/>
                <w:right w:val="none" w:sz="0" w:space="0" w:color="auto"/>
              </w:divBdr>
              <w:divsChild>
                <w:div w:id="126584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276068">
      <w:bodyDiv w:val="1"/>
      <w:marLeft w:val="0"/>
      <w:marRight w:val="0"/>
      <w:marTop w:val="0"/>
      <w:marBottom w:val="0"/>
      <w:divBdr>
        <w:top w:val="none" w:sz="0" w:space="0" w:color="auto"/>
        <w:left w:val="none" w:sz="0" w:space="0" w:color="auto"/>
        <w:bottom w:val="none" w:sz="0" w:space="0" w:color="auto"/>
        <w:right w:val="none" w:sz="0" w:space="0" w:color="auto"/>
      </w:divBdr>
      <w:divsChild>
        <w:div w:id="1708020925">
          <w:marLeft w:val="0"/>
          <w:marRight w:val="0"/>
          <w:marTop w:val="0"/>
          <w:marBottom w:val="0"/>
          <w:divBdr>
            <w:top w:val="none" w:sz="0" w:space="0" w:color="auto"/>
            <w:left w:val="none" w:sz="0" w:space="0" w:color="auto"/>
            <w:bottom w:val="none" w:sz="0" w:space="0" w:color="auto"/>
            <w:right w:val="none" w:sz="0" w:space="0" w:color="auto"/>
          </w:divBdr>
          <w:divsChild>
            <w:div w:id="629242181">
              <w:marLeft w:val="0"/>
              <w:marRight w:val="0"/>
              <w:marTop w:val="0"/>
              <w:marBottom w:val="0"/>
              <w:divBdr>
                <w:top w:val="none" w:sz="0" w:space="0" w:color="auto"/>
                <w:left w:val="none" w:sz="0" w:space="0" w:color="auto"/>
                <w:bottom w:val="none" w:sz="0" w:space="0" w:color="auto"/>
                <w:right w:val="none" w:sz="0" w:space="0" w:color="auto"/>
              </w:divBdr>
              <w:divsChild>
                <w:div w:id="33846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4pharma.com/sites/default/files/documents/n4-pharma-admission-document.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3236</Words>
  <Characters>18448</Characters>
  <Application>Microsoft Office Word</Application>
  <DocSecurity>0</DocSecurity>
  <Lines>153</Lines>
  <Paragraphs>43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N4 Pharma PLC N4P</vt:lpstr>
    </vt:vector>
  </TitlesOfParts>
  <Company/>
  <LinksUpToDate>false</LinksUpToDate>
  <CharactersWithSpaces>21641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cliff weight</dc:creator>
  <cp:lastModifiedBy>James</cp:lastModifiedBy>
  <cp:revision>2</cp:revision>
  <dcterms:created xsi:type="dcterms:W3CDTF">2019-11-18T18:01:00Z</dcterms:created>
  <dcterms:modified xsi:type="dcterms:W3CDTF">2019-11-18T18:01:00Z</dcterms:modified>
</cp:coreProperties>
</file>